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Sentenza 68/2025</w:t>
      </w:r>
    </w:p>
    <w:p w:rsidR="00000000" w:rsidDel="00000000" w:rsidP="00000000" w:rsidRDefault="00000000" w:rsidRPr="00000000" w14:paraId="0000000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doppia maternità nella procreazione medicalmente assistita e il riconoscimento della genitorialità intenzionale</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La vicenda processuale e i fatti di causa</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pronuncia trae origine da una controversia insorta in seguito al rifiuto dell’ufficiale di stato civile di un Comune italiano di registrare come genitori di un minore due donne unite civilmente, una delle quali aveva partorito il bambino a seguito di una procedura di procreazione medicalmente assistita (PMA) eseguita all’estero, in un Paese dove tale tecnica è consentita anche a coppie omosessuali femminili.</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coppia aveva intrapreso insieme il progetto genitoriale: la prima donna era la madre biologica e gestante, mentre la seconda era la madre intenzionale, ossia colei che, pur priva di legame genetico o gestazionale con il nato, aveva condiviso sin dall’origine la decisione di ricorrere alla PMA e di assumersi congiuntamente la responsabilità genitoriale.</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momento della dichiarazione di nascita, l’ufficiale di stato civile, richiamandosi alla circolare del Ministero dell’Interno n. 3/2023, ha rifiutato di iscrivere entrambe le madri nell’atto di nascita, ammettendo solo la donna partoriente come madre legale, e invitando l’altra a ricorrere eventualmente alla adozione in casi particolari ex art. 44, lett. d), legge n. 184/1983.</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coppia ha quindi proposto ricorso al Tribunale ordinario, il quale, ritenendo che tale esclusione potesse violare i principi costituzionali di eguaglianza e di tutela dell’interesse del minore, ha sollevato questione di legittimità costituzionale dell’art. 8 della legge n. 40/2004, nella parte in cui non consente il riconoscimento dello status di genitore alla madre intenzionale nei casi di coppie femminili.</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Il quadro normativo di riferimento</w:t>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L’art. 8 della legge n. 40/2004 stabilisce che “i nati a seguito dell’applicazione delle tecniche di procreazione medicalmente assistita hanno lo stato di figli della coppia che ha espresso la volontà di ricorrere alle tecniche medesime”.</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L’art. 9, tuttavia, limita tale riconoscimento alle coppie eterosessuali, definendo la paternità e maternità esclusivamente in capo ai “coniuge o convivente di sesso diverso” della madre biologica.</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legge, dunque, pur richiamando la volontà procreativa come fondamento della filiazione da PMA, la circoscrive rigidamente all’ambito eterosessuale, escludendo di fatto le coppie omosessuali femminili, anche se unite civilmente.</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Inoltre, la circolare ministeriale n. 3/2023 aveva ribadito tale esclusione, vietando ai comuni di registrare la doppia maternità, in assenza di una previsione legislativa espressa.</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Sul piano sovranazionale, la Corte europea dei diritti dell’uomo (CEDU) aveva più volte affermato, nelle cause Mennesson c. Francia (2014) e Taddeucci c. Italia (2016), che la negazione dei rapporti familiari effettivi costituisce violazione del diritto alla vita familiare (art. 8 CEDU) e del principio di non discriminazione (art. 14 CEDU).</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La questione di legittimità costituzionale</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giudice rimettente ha denunciato il contrasto dell’art. 8, legge 40/2004, con gli articoli 2, 3, 30 e 31 della Costituzione, sostenendo che:</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l’esclusione della madre intenzionale discrimina le coppie omogenitoriali rispetto a quelle eterosessuali, in violazione dell’art. 3;</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compromette il diritto del minore alla propria identità familiare e alla stabilità affettiva (artt. 2 e 30);</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contraddice il principio di tutela dell’infanzia come valore primario dell’ordinamento (art. 31).</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giudice ha altresì sottolineato come l’adozione in casi particolari non sia rimedio idoneo, poiché comporta tempi lunghi, incertezze e non produce piena equiparazione di status.</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Le argomentazioni della Corte costituzionale</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Nella sentenza n. 68/2025, la Corte costituzionale ha accolto la questione, dichiarando l’illegittimità costituzionale dell’art. 8 della legge n. 40/2004 nella parte in cui non consente il riconoscimento della madre intenzionale quale genitore del nato, quando la procreazione medicalmente assistita sia frutto di un progetto condiviso da due donne stabilmente unite.</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Corte ha fondato la sua decisione su un duplice asse argomentativo:</w:t>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Centralità della volontà procreativa</w:t>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Consulta ha affermato che la volontà di diventare genitore, espressa in modo libero, consapevole e responsabile, costituisce elemento costitutivo dello status filiationis nei casi di PMA.</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Tale volontà, una volta manifestata congiuntamente e concretizzata nella nascita del minore, è giuridicamente vincolante e produttiva di effetti di stato, indipendentemente dal sesso o dall’orientamento sessuale dei componenti della coppia.</w:t>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Preminenza dell’interesse del minore</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L’interesse del bambino alla continuità dei rapporti affettivi e alla certezza del proprio status familiare è qualificato come valore costituzionale primario.</w:t>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Escludere la madre intenzionale significherebbe privare il minore di una figura genitoriale effettiva, con grave pregiudizio per la sua identità e sicurezza giuridica.</w:t>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Corte ha inoltre osservato che la legge 40/2004, nel richiamare la “coppia che ha espresso la volontà di ricorrere alle tecniche”, implicitamente riconosce il fondamento volontaristico della genitorialità da PMA; pertanto, limitarlo alle coppie di sesso diverso costituisce un’irragionevole discriminazione contraria all’art. 3 Cost.</w:t>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I principi costituzionali coinvolti</w:t>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pronuncia si radica su una complessa operazione di bilanciamento costituzionale:</w:t>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Articolo Cost.</w:t>
        <w:tab/>
        <w:t xml:space="preserve">Principio</w:t>
        <w:tab/>
        <w:t xml:space="preserve">Rilevanza nel caso</w:t>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 2</w:t>
        <w:tab/>
        <w:t xml:space="preserve">Diritti inviolabili della persona</w:t>
        <w:tab/>
        <w:t xml:space="preserve">tutela dell’identità familiare e relazionale del minore</w:t>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 3</w:t>
        <w:tab/>
        <w:t xml:space="preserve">Uguaglianza formale e sostanziale</w:t>
        <w:tab/>
        <w:t xml:space="preserve">divieto di discriminazione basata su orientamento sessuale o composizione della famiglia</w:t>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 30</w:t>
        <w:tab/>
        <w:t xml:space="preserve">Diritto-dovere dei genitori</w:t>
        <w:tab/>
        <w:t xml:space="preserve">riconoscimento giuridico di chi si assume la responsabilità genitoriale effettiva</w:t>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 31</w:t>
        <w:tab/>
        <w:t xml:space="preserve">Protezione della maternità e dell’infanzia</w:t>
        <w:tab/>
        <w:t xml:space="preserve">obbligo per lo Stato di rimuovere ostacoli alla tutela dei minori</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 117, c. 1</w:t>
        <w:tab/>
        <w:t xml:space="preserve">Rispetto dei vincoli internazionali</w:t>
        <w:tab/>
        <w:t xml:space="preserve">conformità alla giurisprudenza CEDU sulla tutela della vita familiare</w:t>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Corte ha inoltre valorizzato il principio di unicità dello status di figlio (legge n. 219/2012), ritenendo che non possano esistere figli “di serie A e di serie B” a seconda dell’orientamento sessuale dei genitori o delle modalità di concepimento.</w:t>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Le conseguenze pratiche e sistematiche</w:t>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sentenza ha effetti immediati e diretti:</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gli ufficiali di stato civile devono procedere alla registrazione di entrambe le madri negli atti di nascita dei bambini nati da PMA, anche se effettuata all’estero;</w:t>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Procure non possono più proporre impugnazione contro tali registrazioni;</w:t>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circolare ministeriale n. 3/2023 è superata per incompatibilità con il nuovo assetto costituzionale;</w:t>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coppie omogenitoriali femminili non sono più costrette a ricorrere all’adozione in casi particolari per ottenere il riconoscimento giuridico del legame genitoriale.</w:t>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prospettiva, la Corte ha sollecitato un intervento legislativo di coordinamento volto ad aggiornare la legge 40/2004 e a disciplinare in modo unitario la genitorialità intenzionale, anche con riferimento alle coppie maschili e alle tecniche di gestazione per altri (ancora vietate in Italia).</w:t>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Significato sistemico e costituzionale</w:t>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sentenza n. 68/2025 segna un cambio di paradigma nel diritto di famiglia italiano.</w:t>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genitorialità non è più ancorata esclusivamente alla biologia, ma si fonda sulla responsabilità e volontà condivisa di generare e crescere un figlio.</w:t>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diritto viene così reinterpretato in chiave personalista e relazionale, in cui la famiglia è intesa come comunità affettiva fondata sulla cura e sulla solidarietà, non più necessariamente eterosessuale o fondata sul matrimonio.</w:t>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Consulta opera quindi una lettura evolutiva della Costituzione, coerente con i principi sovranazionali di tutela dei diritti umani e con l’evoluzione sociale del concetto di famiglia.</w:t>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 emerge una visione di eguaglianza sostanziale, che rifiuta la discriminazione e promuove la piena dignità di tutte le forme familiari riconosciute e vissute nella realtà sociale.</w:t>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