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BFE9F" w14:textId="77777777" w:rsidR="00401BAE" w:rsidRDefault="00401BAE" w:rsidP="00401BAE">
      <w:pPr>
        <w:pStyle w:val="Titolo1"/>
        <w:spacing w:line="240" w:lineRule="auto"/>
        <w:ind w:left="0"/>
      </w:pPr>
    </w:p>
    <w:p w14:paraId="19E410FA" w14:textId="77777777" w:rsidR="00401BAE" w:rsidRDefault="00401BAE" w:rsidP="00401BAE">
      <w:pPr>
        <w:pStyle w:val="Titolo1"/>
        <w:spacing w:line="240" w:lineRule="auto"/>
        <w:ind w:left="0"/>
      </w:pPr>
      <w:r>
        <w:t xml:space="preserve">Education </w:t>
      </w:r>
    </w:p>
    <w:p w14:paraId="5D6BF9FF" w14:textId="77777777" w:rsidR="00401BAE" w:rsidRDefault="00401BAE" w:rsidP="00401BAE">
      <w:pPr>
        <w:rPr>
          <w:lang w:val="en-GB"/>
        </w:rPr>
      </w:pPr>
    </w:p>
    <w:p w14:paraId="126287CD" w14:textId="701F935B" w:rsidR="00401BAE" w:rsidRDefault="00543297" w:rsidP="00401BAE">
      <w:pPr>
        <w:ind w:left="2124" w:hanging="2124"/>
        <w:jc w:val="both"/>
        <w:rPr>
          <w:lang w:val="en-GB"/>
        </w:rPr>
      </w:pPr>
      <w:r>
        <w:rPr>
          <w:lang w:val="en-GB"/>
        </w:rPr>
        <w:t>199</w:t>
      </w:r>
      <w:r w:rsidR="00D01EE5">
        <w:rPr>
          <w:lang w:val="en-GB"/>
        </w:rPr>
        <w:t>5/9</w:t>
      </w:r>
      <w:r>
        <w:rPr>
          <w:lang w:val="en-GB"/>
        </w:rPr>
        <w:t>6</w:t>
      </w:r>
      <w:r w:rsidR="00401BAE">
        <w:rPr>
          <w:lang w:val="en-GB"/>
        </w:rPr>
        <w:t xml:space="preserve"> </w:t>
      </w:r>
      <w:r w:rsidR="00401BAE">
        <w:rPr>
          <w:lang w:val="en-GB"/>
        </w:rPr>
        <w:tab/>
        <w:t xml:space="preserve">Graduated in Law </w:t>
      </w:r>
      <w:r w:rsidR="00401BAE">
        <w:rPr>
          <w:i/>
          <w:iCs/>
          <w:lang w:val="en-GB"/>
        </w:rPr>
        <w:t xml:space="preserve">magna cum laude </w:t>
      </w:r>
      <w:r w:rsidR="00401BAE">
        <w:rPr>
          <w:lang w:val="en-GB"/>
        </w:rPr>
        <w:t xml:space="preserve">at the University of Macerata with a dissertation in Comparative Constitutional Law </w:t>
      </w:r>
    </w:p>
    <w:p w14:paraId="690086FB" w14:textId="77777777" w:rsidR="00E25713" w:rsidRDefault="00E25713"/>
    <w:p w14:paraId="54473E46" w14:textId="77777777" w:rsidR="00401BAE" w:rsidRDefault="00401BAE"/>
    <w:p w14:paraId="4C2CDD45" w14:textId="77777777" w:rsidR="00401BAE" w:rsidRDefault="00401BAE" w:rsidP="00401BAE">
      <w:pPr>
        <w:jc w:val="both"/>
        <w:rPr>
          <w:b/>
          <w:i/>
          <w:lang w:val="en-GB"/>
        </w:rPr>
      </w:pPr>
      <w:r>
        <w:rPr>
          <w:b/>
          <w:i/>
          <w:lang w:val="en-GB"/>
        </w:rPr>
        <w:t>Employment History</w:t>
      </w:r>
    </w:p>
    <w:p w14:paraId="703171BC" w14:textId="77777777" w:rsidR="00401BAE" w:rsidRDefault="00401BAE" w:rsidP="00401BAE">
      <w:pPr>
        <w:jc w:val="both"/>
        <w:rPr>
          <w:b/>
          <w:i/>
          <w:lang w:val="en-GB"/>
        </w:rPr>
      </w:pPr>
    </w:p>
    <w:p w14:paraId="33E5390D" w14:textId="77777777" w:rsidR="00401BAE" w:rsidRDefault="00401BAE" w:rsidP="00401BAE">
      <w:pPr>
        <w:ind w:left="2160" w:hanging="2160"/>
        <w:jc w:val="both"/>
        <w:rPr>
          <w:lang w:val="en-GB"/>
        </w:rPr>
      </w:pPr>
      <w:r>
        <w:rPr>
          <w:lang w:val="en-GB"/>
        </w:rPr>
        <w:t xml:space="preserve">2013-present               Associate professor in Comparative Public Law </w:t>
      </w:r>
    </w:p>
    <w:p w14:paraId="7BCA7605" w14:textId="77777777" w:rsidR="00401BAE" w:rsidRDefault="00401BAE" w:rsidP="00401BAE">
      <w:pPr>
        <w:ind w:left="2160" w:hanging="2160"/>
        <w:jc w:val="both"/>
        <w:rPr>
          <w:lang w:val="en-GB"/>
        </w:rPr>
      </w:pPr>
    </w:p>
    <w:p w14:paraId="211E96E7" w14:textId="77777777" w:rsidR="00401BAE" w:rsidRDefault="00401BAE" w:rsidP="00401BAE">
      <w:pPr>
        <w:ind w:left="2160" w:hanging="2160"/>
        <w:jc w:val="both"/>
        <w:rPr>
          <w:lang w:val="en-GB"/>
        </w:rPr>
      </w:pPr>
      <w:r>
        <w:rPr>
          <w:lang w:val="en-GB"/>
        </w:rPr>
        <w:t>2008-2013</w:t>
      </w:r>
      <w:r>
        <w:rPr>
          <w:lang w:val="en-GB"/>
        </w:rPr>
        <w:tab/>
        <w:t>Assistant professor of Comparative Constitutional Law at the Department of Public Law and Theory of Government, School of Political Science, University of Macerata</w:t>
      </w:r>
    </w:p>
    <w:p w14:paraId="2D8FE3C7" w14:textId="77777777" w:rsidR="00401BAE" w:rsidRDefault="00401BAE" w:rsidP="00401BAE">
      <w:pPr>
        <w:ind w:left="2160" w:hanging="2160"/>
        <w:jc w:val="both"/>
        <w:rPr>
          <w:lang w:val="en-GB"/>
        </w:rPr>
      </w:pPr>
    </w:p>
    <w:p w14:paraId="04220431" w14:textId="77777777" w:rsidR="00401BAE" w:rsidRDefault="00401BAE" w:rsidP="00401BAE">
      <w:pPr>
        <w:numPr>
          <w:ilvl w:val="1"/>
          <w:numId w:val="1"/>
        </w:numPr>
        <w:tabs>
          <w:tab w:val="clear" w:pos="1044"/>
        </w:tabs>
        <w:ind w:left="2160" w:hanging="2160"/>
        <w:jc w:val="both"/>
        <w:rPr>
          <w:lang w:val="en-GB"/>
        </w:rPr>
      </w:pPr>
      <w:r>
        <w:rPr>
          <w:lang w:val="en-GB"/>
        </w:rPr>
        <w:t>Lecturer of Comparative Constitutional Law at the Department of Public Law and Theory of Government, School of Political Science, University of Macerata</w:t>
      </w:r>
    </w:p>
    <w:p w14:paraId="28077670" w14:textId="77777777" w:rsidR="00401BAE" w:rsidRDefault="00401BAE"/>
    <w:p w14:paraId="415767BA" w14:textId="77777777" w:rsidR="00401BAE" w:rsidRDefault="00401BAE"/>
    <w:p w14:paraId="301A3810" w14:textId="4D613478" w:rsidR="00401BAE" w:rsidRPr="0044284A" w:rsidRDefault="00401BAE" w:rsidP="00401BAE">
      <w:pPr>
        <w:jc w:val="both"/>
        <w:rPr>
          <w:b/>
          <w:i/>
          <w:lang w:val="en-GB"/>
        </w:rPr>
      </w:pPr>
      <w:r w:rsidRPr="00727CB3">
        <w:rPr>
          <w:b/>
          <w:i/>
          <w:lang w:val="en-GB"/>
        </w:rPr>
        <w:t>Experiences Abroad</w:t>
      </w:r>
    </w:p>
    <w:p w14:paraId="576DD753" w14:textId="77777777" w:rsidR="00AA5ACB" w:rsidRDefault="00AA5ACB" w:rsidP="00AA5ACB">
      <w:pPr>
        <w:ind w:left="2124" w:hanging="2117"/>
        <w:jc w:val="both"/>
        <w:rPr>
          <w:lang w:val="en-GB"/>
        </w:rPr>
      </w:pPr>
    </w:p>
    <w:p w14:paraId="17C4D683" w14:textId="3C697B6D" w:rsidR="00CD138D" w:rsidRDefault="00AA5ACB" w:rsidP="00CD138D">
      <w:pPr>
        <w:ind w:left="2124" w:hanging="2117"/>
        <w:jc w:val="both"/>
        <w:rPr>
          <w:lang w:val="en-GB"/>
        </w:rPr>
      </w:pPr>
      <w:r>
        <w:rPr>
          <w:lang w:val="en-GB"/>
        </w:rPr>
        <w:t>2017</w:t>
      </w:r>
      <w:r w:rsidRPr="00AA5ACB">
        <w:rPr>
          <w:lang w:val="en-GB"/>
        </w:rPr>
        <w:t xml:space="preserve"> </w:t>
      </w:r>
      <w:r>
        <w:rPr>
          <w:lang w:val="en-GB"/>
        </w:rPr>
        <w:t xml:space="preserve">              </w:t>
      </w:r>
      <w:r w:rsidR="00CD138D">
        <w:rPr>
          <w:lang w:val="en-GB"/>
        </w:rPr>
        <w:tab/>
      </w:r>
      <w:r>
        <w:rPr>
          <w:lang w:val="en-GB"/>
        </w:rPr>
        <w:t>Visiting Faculty at the Universidad Naci</w:t>
      </w:r>
      <w:r w:rsidR="00CD138D">
        <w:rPr>
          <w:lang w:val="en-GB"/>
        </w:rPr>
        <w:t xml:space="preserve">onal de </w:t>
      </w:r>
      <w:r w:rsidR="00A92DB2">
        <w:rPr>
          <w:lang w:val="en-GB"/>
        </w:rPr>
        <w:t>Salta</w:t>
      </w:r>
      <w:r w:rsidR="00CD138D">
        <w:rPr>
          <w:lang w:val="en-GB"/>
        </w:rPr>
        <w:t xml:space="preserve"> (Argentina) </w:t>
      </w:r>
    </w:p>
    <w:p w14:paraId="0B8D387B" w14:textId="2DF1EC1A" w:rsidR="00CD138D" w:rsidRDefault="00A92DB2" w:rsidP="00CD138D">
      <w:pPr>
        <w:ind w:left="2124" w:hanging="2117"/>
        <w:jc w:val="both"/>
        <w:rPr>
          <w:lang w:val="en-GB"/>
        </w:rPr>
      </w:pPr>
      <w:r>
        <w:rPr>
          <w:lang w:val="en-GB"/>
        </w:rPr>
        <w:t xml:space="preserve">(fall semester) </w:t>
      </w:r>
      <w:r>
        <w:rPr>
          <w:lang w:val="en-GB"/>
        </w:rPr>
        <w:tab/>
      </w:r>
    </w:p>
    <w:p w14:paraId="3C8A2D9C" w14:textId="77777777" w:rsidR="00AA5ACB" w:rsidRDefault="00AA5ACB" w:rsidP="00764505">
      <w:pPr>
        <w:jc w:val="both"/>
        <w:rPr>
          <w:lang w:val="en-GB"/>
        </w:rPr>
      </w:pPr>
    </w:p>
    <w:p w14:paraId="6FD5BD89" w14:textId="77777777" w:rsidR="00FB6BD2" w:rsidRDefault="00EF2E26" w:rsidP="0006673C">
      <w:pPr>
        <w:ind w:left="2124" w:hanging="2117"/>
        <w:jc w:val="both"/>
        <w:rPr>
          <w:lang w:val="en-GB"/>
        </w:rPr>
      </w:pPr>
      <w:r>
        <w:rPr>
          <w:lang w:val="en-GB"/>
        </w:rPr>
        <w:t>2016</w:t>
      </w:r>
      <w:r w:rsidR="0006673C">
        <w:rPr>
          <w:lang w:val="en-GB"/>
        </w:rPr>
        <w:t xml:space="preserve">                  </w:t>
      </w:r>
      <w:r w:rsidR="0006673C">
        <w:rPr>
          <w:lang w:val="en-GB"/>
        </w:rPr>
        <w:tab/>
      </w:r>
      <w:r>
        <w:rPr>
          <w:lang w:val="en-GB"/>
        </w:rPr>
        <w:t>Fellow</w:t>
      </w:r>
      <w:r w:rsidR="00ED36AF">
        <w:rPr>
          <w:lang w:val="en-GB"/>
        </w:rPr>
        <w:t>ship</w:t>
      </w:r>
      <w:r>
        <w:rPr>
          <w:lang w:val="en-GB"/>
        </w:rPr>
        <w:t xml:space="preserve"> at the Max Planck Institute </w:t>
      </w:r>
      <w:r w:rsidR="00FB6BD2">
        <w:rPr>
          <w:lang w:val="en-GB"/>
        </w:rPr>
        <w:t xml:space="preserve">for Comparative </w:t>
      </w:r>
      <w:r w:rsidR="0006673C">
        <w:rPr>
          <w:lang w:val="en-GB"/>
        </w:rPr>
        <w:t>Public Law</w:t>
      </w:r>
      <w:r w:rsidR="00FB6BD2">
        <w:rPr>
          <w:lang w:val="en-GB"/>
        </w:rPr>
        <w:t xml:space="preserve"> and </w:t>
      </w:r>
    </w:p>
    <w:p w14:paraId="00996D0E" w14:textId="0C888BDE" w:rsidR="0006673C" w:rsidRDefault="00FB6BD2" w:rsidP="0006673C">
      <w:pPr>
        <w:ind w:left="2124" w:hanging="2117"/>
        <w:jc w:val="both"/>
        <w:rPr>
          <w:lang w:val="en-GB"/>
        </w:rPr>
      </w:pPr>
      <w:r>
        <w:rPr>
          <w:lang w:val="en-GB"/>
        </w:rPr>
        <w:t>(fall semester)            International Law</w:t>
      </w:r>
      <w:r w:rsidR="0006673C">
        <w:rPr>
          <w:lang w:val="en-GB"/>
        </w:rPr>
        <w:t>,</w:t>
      </w:r>
      <w:r w:rsidR="00EF2E26">
        <w:rPr>
          <w:lang w:val="en-GB"/>
        </w:rPr>
        <w:t xml:space="preserve"> </w:t>
      </w:r>
      <w:r>
        <w:rPr>
          <w:lang w:val="en-GB"/>
        </w:rPr>
        <w:t>Heidelberg (prof. Armin von Bogdandy)</w:t>
      </w:r>
    </w:p>
    <w:p w14:paraId="507FCB0C" w14:textId="77777777" w:rsidR="00DC5EB4" w:rsidRDefault="00DC5EB4" w:rsidP="0006673C">
      <w:pPr>
        <w:ind w:left="2124" w:hanging="2117"/>
        <w:jc w:val="both"/>
        <w:rPr>
          <w:lang w:val="en-GB"/>
        </w:rPr>
      </w:pPr>
    </w:p>
    <w:p w14:paraId="519D6FFD" w14:textId="196EF1FC" w:rsidR="00DC5EB4" w:rsidRDefault="00DC5EB4" w:rsidP="0006673C">
      <w:pPr>
        <w:ind w:left="2124" w:hanging="2117"/>
        <w:jc w:val="both"/>
        <w:rPr>
          <w:lang w:val="en-GB"/>
        </w:rPr>
      </w:pPr>
      <w:r>
        <w:rPr>
          <w:lang w:val="en-GB"/>
        </w:rPr>
        <w:t>2016                          Visiting Faculty at the Queen’s University Belfast School of Law</w:t>
      </w:r>
    </w:p>
    <w:p w14:paraId="7793BBBE" w14:textId="1B657C98" w:rsidR="00DC5EB4" w:rsidRDefault="00DC5EB4" w:rsidP="0006673C">
      <w:pPr>
        <w:ind w:left="2124" w:hanging="2117"/>
        <w:jc w:val="both"/>
        <w:rPr>
          <w:lang w:val="en-GB"/>
        </w:rPr>
      </w:pPr>
      <w:r>
        <w:rPr>
          <w:lang w:val="en-GB"/>
        </w:rPr>
        <w:t>(spring semester)</w:t>
      </w:r>
    </w:p>
    <w:p w14:paraId="6718ACF6" w14:textId="77777777" w:rsidR="00EF2E26" w:rsidRDefault="00EF2E26" w:rsidP="00ED36AF">
      <w:pPr>
        <w:jc w:val="both"/>
        <w:rPr>
          <w:lang w:val="en-GB"/>
        </w:rPr>
      </w:pPr>
    </w:p>
    <w:p w14:paraId="78E5831E" w14:textId="4E8933F8" w:rsidR="00194368" w:rsidRDefault="00194368" w:rsidP="00194368">
      <w:pPr>
        <w:ind w:firstLine="7"/>
        <w:jc w:val="both"/>
        <w:rPr>
          <w:lang w:val="en-GB"/>
        </w:rPr>
      </w:pPr>
      <w:r>
        <w:rPr>
          <w:lang w:val="en-GB"/>
        </w:rPr>
        <w:t xml:space="preserve">2015                         Visiting </w:t>
      </w:r>
      <w:r w:rsidR="0044284A">
        <w:rPr>
          <w:lang w:val="en-GB"/>
        </w:rPr>
        <w:t>Professor</w:t>
      </w:r>
      <w:r>
        <w:rPr>
          <w:lang w:val="en-GB"/>
        </w:rPr>
        <w:t xml:space="preserve"> at the King’s College London Dickson Poon School of Law (fall semester)</w:t>
      </w:r>
      <w:r w:rsidRPr="00194368">
        <w:rPr>
          <w:lang w:val="en-GB"/>
        </w:rPr>
        <w:t xml:space="preserve"> </w:t>
      </w:r>
      <w:r>
        <w:rPr>
          <w:lang w:val="en-GB"/>
        </w:rPr>
        <w:t xml:space="preserve">          (prof. David Nelken)</w:t>
      </w:r>
    </w:p>
    <w:p w14:paraId="17E416C7" w14:textId="77777777" w:rsidR="00194368" w:rsidRDefault="00194368" w:rsidP="00194368">
      <w:pPr>
        <w:ind w:left="2120" w:hanging="2120"/>
        <w:jc w:val="both"/>
        <w:rPr>
          <w:lang w:val="en-GB"/>
        </w:rPr>
      </w:pPr>
      <w:r>
        <w:rPr>
          <w:lang w:val="en-GB"/>
        </w:rPr>
        <w:t xml:space="preserve"> </w:t>
      </w:r>
    </w:p>
    <w:p w14:paraId="244A93F5" w14:textId="26720EBE" w:rsidR="00401BAE" w:rsidRDefault="0044284A" w:rsidP="00401BAE">
      <w:pPr>
        <w:ind w:left="2120" w:hanging="2120"/>
        <w:jc w:val="both"/>
        <w:rPr>
          <w:lang w:val="en-GB"/>
        </w:rPr>
      </w:pPr>
      <w:r>
        <w:rPr>
          <w:lang w:val="en-GB"/>
        </w:rPr>
        <w:t>2011</w:t>
      </w:r>
      <w:r>
        <w:rPr>
          <w:lang w:val="en-GB"/>
        </w:rPr>
        <w:tab/>
      </w:r>
      <w:r>
        <w:rPr>
          <w:lang w:val="en-GB"/>
        </w:rPr>
        <w:tab/>
        <w:t>Visiting R</w:t>
      </w:r>
      <w:r w:rsidR="00401BAE">
        <w:rPr>
          <w:lang w:val="en-GB"/>
        </w:rPr>
        <w:t>esearcher at the Yale Law School (prof. Robert A. Burt, prof. Guido</w:t>
      </w:r>
      <w:r w:rsidRPr="0044284A">
        <w:rPr>
          <w:lang w:val="en-GB"/>
        </w:rPr>
        <w:t xml:space="preserve"> </w:t>
      </w:r>
      <w:r>
        <w:rPr>
          <w:lang w:val="en-GB"/>
        </w:rPr>
        <w:t>Calabresi), New Haven, USA</w:t>
      </w:r>
    </w:p>
    <w:p w14:paraId="5C1AD24D" w14:textId="09FE6272" w:rsidR="00401BAE" w:rsidRDefault="00401BAE" w:rsidP="00194368">
      <w:pPr>
        <w:ind w:left="2120" w:hanging="2120"/>
        <w:jc w:val="both"/>
        <w:rPr>
          <w:lang w:val="en-GB"/>
        </w:rPr>
      </w:pPr>
      <w:r>
        <w:rPr>
          <w:lang w:val="en-GB"/>
        </w:rPr>
        <w:t>(spring semest</w:t>
      </w:r>
      <w:r w:rsidR="0044284A">
        <w:rPr>
          <w:lang w:val="en-GB"/>
        </w:rPr>
        <w:t xml:space="preserve">er) </w:t>
      </w:r>
    </w:p>
    <w:p w14:paraId="0C02CBF0" w14:textId="77777777" w:rsidR="00401BAE" w:rsidRDefault="00401BAE" w:rsidP="00401BAE">
      <w:pPr>
        <w:ind w:left="2160"/>
        <w:jc w:val="both"/>
        <w:rPr>
          <w:lang w:val="en-GB"/>
        </w:rPr>
      </w:pPr>
    </w:p>
    <w:p w14:paraId="6256623E" w14:textId="77777777" w:rsidR="00401BAE" w:rsidRDefault="00401BAE" w:rsidP="00401BAE">
      <w:pPr>
        <w:jc w:val="both"/>
        <w:rPr>
          <w:lang w:val="en-GB"/>
        </w:rPr>
      </w:pPr>
      <w:r>
        <w:rPr>
          <w:lang w:val="en-GB"/>
        </w:rPr>
        <w:t>2009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Visiting Faculty at the University of Oviedo Law School, Spain</w:t>
      </w:r>
    </w:p>
    <w:p w14:paraId="2703DD3C" w14:textId="77777777" w:rsidR="00401BAE" w:rsidRDefault="00401BAE" w:rsidP="00401BAE">
      <w:pPr>
        <w:jc w:val="both"/>
        <w:rPr>
          <w:lang w:val="en-GB"/>
        </w:rPr>
      </w:pPr>
      <w:r>
        <w:rPr>
          <w:lang w:val="en-GB"/>
        </w:rPr>
        <w:t>(fall semester)</w:t>
      </w:r>
    </w:p>
    <w:p w14:paraId="5A4B122C" w14:textId="77777777" w:rsidR="00401BAE" w:rsidRDefault="00401BAE" w:rsidP="00401BAE">
      <w:pPr>
        <w:jc w:val="both"/>
        <w:rPr>
          <w:lang w:val="en-GB"/>
        </w:rPr>
      </w:pPr>
    </w:p>
    <w:p w14:paraId="0D0517DA" w14:textId="77777777" w:rsidR="00401BAE" w:rsidRDefault="00401BAE" w:rsidP="00401BAE">
      <w:pPr>
        <w:jc w:val="both"/>
        <w:rPr>
          <w:lang w:val="en-GB"/>
        </w:rPr>
      </w:pPr>
      <w:r>
        <w:rPr>
          <w:lang w:val="en-GB"/>
        </w:rPr>
        <w:t>2007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Visiting Faculty at the School of Political Science, Central Michigan      </w:t>
      </w:r>
    </w:p>
    <w:p w14:paraId="1770AEF6" w14:textId="77777777" w:rsidR="00401BAE" w:rsidRDefault="00401BAE" w:rsidP="00401BAE">
      <w:pPr>
        <w:jc w:val="both"/>
        <w:rPr>
          <w:lang w:val="en-GB"/>
        </w:rPr>
      </w:pPr>
      <w:r>
        <w:rPr>
          <w:lang w:val="en-GB"/>
        </w:rPr>
        <w:t>(fall semester)</w:t>
      </w:r>
      <w:r>
        <w:rPr>
          <w:lang w:val="en-GB"/>
        </w:rPr>
        <w:tab/>
      </w:r>
      <w:r>
        <w:rPr>
          <w:lang w:val="en-GB"/>
        </w:rPr>
        <w:tab/>
        <w:t>University,</w:t>
      </w:r>
      <w:r w:rsidRPr="008D2A8B">
        <w:rPr>
          <w:lang w:val="en-GB"/>
        </w:rPr>
        <w:t xml:space="preserve"> </w:t>
      </w:r>
      <w:r>
        <w:rPr>
          <w:lang w:val="en-GB"/>
        </w:rPr>
        <w:t>Mount Pleasant, MI., USA</w:t>
      </w:r>
    </w:p>
    <w:p w14:paraId="58F4BFA6" w14:textId="77777777" w:rsidR="00401BAE" w:rsidRDefault="00401BAE" w:rsidP="00401BAE">
      <w:pPr>
        <w:jc w:val="both"/>
        <w:rPr>
          <w:lang w:val="en-GB"/>
        </w:rPr>
      </w:pPr>
    </w:p>
    <w:p w14:paraId="40692A8E" w14:textId="6EA4D5F5" w:rsidR="00401BAE" w:rsidRDefault="00401BAE" w:rsidP="00401BAE">
      <w:pPr>
        <w:jc w:val="both"/>
        <w:rPr>
          <w:lang w:val="en-GB"/>
        </w:rPr>
      </w:pPr>
      <w:r>
        <w:rPr>
          <w:lang w:val="en-GB"/>
        </w:rPr>
        <w:t xml:space="preserve">2005      </w:t>
      </w:r>
      <w:r w:rsidR="0044284A">
        <w:rPr>
          <w:lang w:val="en-GB"/>
        </w:rPr>
        <w:t xml:space="preserve">                      Research A</w:t>
      </w:r>
      <w:r>
        <w:rPr>
          <w:lang w:val="en-GB"/>
        </w:rPr>
        <w:t xml:space="preserve">ssistant at the Harvard Law School (prof. Laurence H. Tribe), </w:t>
      </w:r>
    </w:p>
    <w:p w14:paraId="1D926EF7" w14:textId="58764C7D" w:rsidR="00401BAE" w:rsidRDefault="00401BAE" w:rsidP="00401BAE">
      <w:pPr>
        <w:ind w:left="360" w:hanging="360"/>
        <w:jc w:val="both"/>
        <w:rPr>
          <w:lang w:val="en-GB"/>
        </w:rPr>
      </w:pPr>
      <w:r>
        <w:rPr>
          <w:lang w:val="en-GB"/>
        </w:rPr>
        <w:t xml:space="preserve">(fall </w:t>
      </w:r>
      <w:r w:rsidR="0044284A">
        <w:rPr>
          <w:lang w:val="en-GB"/>
        </w:rPr>
        <w:t>semester)</w:t>
      </w:r>
      <w:r w:rsidR="0044284A">
        <w:rPr>
          <w:lang w:val="en-GB"/>
        </w:rPr>
        <w:tab/>
      </w:r>
      <w:r w:rsidR="0044284A">
        <w:rPr>
          <w:lang w:val="en-GB"/>
        </w:rPr>
        <w:tab/>
        <w:t>Cambridge,</w:t>
      </w:r>
      <w:r>
        <w:rPr>
          <w:lang w:val="en-GB"/>
        </w:rPr>
        <w:t xml:space="preserve"> USA</w:t>
      </w:r>
    </w:p>
    <w:p w14:paraId="15B7CA5B" w14:textId="77777777" w:rsidR="00401BAE" w:rsidRDefault="00401BAE" w:rsidP="00401BAE">
      <w:pPr>
        <w:jc w:val="both"/>
        <w:rPr>
          <w:lang w:val="en-GB"/>
        </w:rPr>
      </w:pPr>
    </w:p>
    <w:p w14:paraId="46DAC99E" w14:textId="77777777" w:rsidR="00401BAE" w:rsidRDefault="00401BAE" w:rsidP="00401BAE">
      <w:pPr>
        <w:numPr>
          <w:ilvl w:val="0"/>
          <w:numId w:val="2"/>
        </w:numPr>
        <w:ind w:hanging="840"/>
        <w:jc w:val="both"/>
        <w:rPr>
          <w:lang w:val="en-GB"/>
        </w:rPr>
      </w:pPr>
      <w:r>
        <w:rPr>
          <w:lang w:val="en-GB"/>
        </w:rPr>
        <w:t xml:space="preserve">                      Visiting scholar at the Boston College Law School (prof. Charles H. Baron),</w:t>
      </w:r>
    </w:p>
    <w:p w14:paraId="73964B93" w14:textId="5F98B0D2" w:rsidR="00401BAE" w:rsidRDefault="00401BAE" w:rsidP="00DC5EB4">
      <w:pPr>
        <w:ind w:left="360" w:hanging="360"/>
        <w:jc w:val="both"/>
      </w:pPr>
      <w:r w:rsidRPr="00F021CF">
        <w:t>(fall semester)</w:t>
      </w:r>
      <w:r>
        <w:tab/>
      </w:r>
      <w:r>
        <w:tab/>
        <w:t>Boston, MA., USA</w:t>
      </w:r>
    </w:p>
    <w:p w14:paraId="77AA40FE" w14:textId="77777777" w:rsidR="00DC5EB4" w:rsidRDefault="00DC5EB4" w:rsidP="00401BAE">
      <w:pPr>
        <w:pStyle w:val="Titolo3"/>
        <w:rPr>
          <w:rFonts w:ascii="Times New Roman" w:hAnsi="Times New Roman" w:cs="Times New Roman"/>
          <w:color w:val="auto"/>
        </w:rPr>
      </w:pPr>
    </w:p>
    <w:p w14:paraId="67DE463A" w14:textId="77777777" w:rsidR="00401BAE" w:rsidRDefault="00401BAE" w:rsidP="00401BAE">
      <w:pPr>
        <w:pStyle w:val="Titolo3"/>
      </w:pPr>
      <w:r>
        <w:rPr>
          <w:rFonts w:ascii="Times New Roman" w:hAnsi="Times New Roman" w:cs="Times New Roman"/>
          <w:color w:val="auto"/>
        </w:rPr>
        <w:t xml:space="preserve">Selected </w:t>
      </w:r>
      <w:r w:rsidRPr="00401BAE">
        <w:rPr>
          <w:rFonts w:ascii="Times New Roman" w:hAnsi="Times New Roman" w:cs="Times New Roman"/>
          <w:color w:val="auto"/>
        </w:rPr>
        <w:t>Publications</w:t>
      </w:r>
      <w:r>
        <w:t xml:space="preserve"> </w:t>
      </w:r>
    </w:p>
    <w:p w14:paraId="55391AC7" w14:textId="77777777" w:rsidR="00401BAE" w:rsidRDefault="00401BAE" w:rsidP="00401BAE"/>
    <w:p w14:paraId="0AC519DD" w14:textId="77777777" w:rsidR="00401BAE" w:rsidRPr="009600CD" w:rsidRDefault="00401BAE" w:rsidP="00401BAE">
      <w:pPr>
        <w:rPr>
          <w:b/>
        </w:rPr>
      </w:pPr>
      <w:r w:rsidRPr="009600CD">
        <w:rPr>
          <w:b/>
        </w:rPr>
        <w:t>Books</w:t>
      </w:r>
    </w:p>
    <w:p w14:paraId="467DF765" w14:textId="77777777" w:rsidR="00401BAE" w:rsidRDefault="00401BAE" w:rsidP="00401BAE"/>
    <w:p w14:paraId="5046012D" w14:textId="31CCC52D" w:rsidR="00DC5EB4" w:rsidRDefault="00DC5EB4" w:rsidP="00401BAE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Giuliano Amato, Benedetta Barbisan, </w:t>
      </w:r>
      <w:r>
        <w:rPr>
          <w:i/>
          <w:lang w:val="en-GB"/>
        </w:rPr>
        <w:t>Corte costituzionale e Corti europee. Fra diversità nazionali e visioni comuni</w:t>
      </w:r>
      <w:r>
        <w:rPr>
          <w:lang w:val="en-GB"/>
        </w:rPr>
        <w:t xml:space="preserve"> (</w:t>
      </w:r>
      <w:r w:rsidR="004303B6">
        <w:rPr>
          <w:sz w:val="20"/>
          <w:szCs w:val="20"/>
          <w:lang w:val="en-GB"/>
        </w:rPr>
        <w:t>Italian Constitutional C</w:t>
      </w:r>
      <w:r w:rsidRPr="00DC5EB4">
        <w:rPr>
          <w:sz w:val="20"/>
          <w:szCs w:val="20"/>
          <w:lang w:val="en-GB"/>
        </w:rPr>
        <w:t>ourt and European Courts. Between National Diversities and Common Values</w:t>
      </w:r>
      <w:r w:rsidRPr="00DC5EB4">
        <w:rPr>
          <w:lang w:val="en-GB"/>
        </w:rPr>
        <w:t>), Bologna, il Mulino, 2016</w:t>
      </w:r>
    </w:p>
    <w:p w14:paraId="7FF7C6F5" w14:textId="77777777" w:rsidR="00DC5EB4" w:rsidRPr="00DC5EB4" w:rsidRDefault="00DC5EB4" w:rsidP="00DC5EB4">
      <w:pPr>
        <w:ind w:left="360"/>
        <w:rPr>
          <w:lang w:val="en-GB"/>
        </w:rPr>
      </w:pPr>
    </w:p>
    <w:p w14:paraId="6988BBCD" w14:textId="41876868" w:rsidR="00401BAE" w:rsidRDefault="00401BAE" w:rsidP="00401BAE">
      <w:pPr>
        <w:numPr>
          <w:ilvl w:val="0"/>
          <w:numId w:val="3"/>
        </w:numPr>
        <w:rPr>
          <w:lang w:val="en-GB"/>
        </w:rPr>
      </w:pPr>
      <w:r w:rsidRPr="00B10A97">
        <w:t>Nascita di un mito.</w:t>
      </w:r>
      <w:r w:rsidRPr="00233D67">
        <w:rPr>
          <w:u w:val="single"/>
        </w:rPr>
        <w:t xml:space="preserve"> </w:t>
      </w:r>
      <w:r w:rsidRPr="00B10A97">
        <w:rPr>
          <w:i/>
        </w:rPr>
        <w:t xml:space="preserve">Marbury v. Madison </w:t>
      </w:r>
      <w:r w:rsidRPr="00B10A97">
        <w:t>e le origini della giustizia costituzionale negli Stati Uniti</w:t>
      </w:r>
      <w:r>
        <w:t xml:space="preserve"> (</w:t>
      </w:r>
      <w:r>
        <w:rPr>
          <w:sz w:val="20"/>
          <w:szCs w:val="20"/>
        </w:rPr>
        <w:t xml:space="preserve">The Creation of a Myth. </w:t>
      </w:r>
      <w:r w:rsidRPr="00233D67">
        <w:rPr>
          <w:i/>
          <w:sz w:val="20"/>
          <w:szCs w:val="20"/>
          <w:lang w:val="en-GB"/>
        </w:rPr>
        <w:t>Marbury v. Madison</w:t>
      </w:r>
      <w:r w:rsidRPr="00233D67">
        <w:rPr>
          <w:sz w:val="20"/>
          <w:szCs w:val="20"/>
          <w:lang w:val="en-GB"/>
        </w:rPr>
        <w:t xml:space="preserve"> and the Origins of Constitutional Adjudication in the United States</w:t>
      </w:r>
      <w:r w:rsidR="001432F7">
        <w:rPr>
          <w:lang w:val="en-GB"/>
        </w:rPr>
        <w:t>), Bologna, i</w:t>
      </w:r>
      <w:r>
        <w:rPr>
          <w:lang w:val="en-GB"/>
        </w:rPr>
        <w:t>l Mulino, 2008</w:t>
      </w:r>
    </w:p>
    <w:p w14:paraId="3D9986B5" w14:textId="77777777" w:rsidR="00401BAE" w:rsidRDefault="00401BAE" w:rsidP="00401BAE">
      <w:pPr>
        <w:rPr>
          <w:b/>
        </w:rPr>
      </w:pPr>
    </w:p>
    <w:p w14:paraId="45D1A26C" w14:textId="77777777" w:rsidR="00401BAE" w:rsidRDefault="00401BAE" w:rsidP="00401BAE">
      <w:pPr>
        <w:rPr>
          <w:b/>
        </w:rPr>
      </w:pPr>
    </w:p>
    <w:p w14:paraId="1650ECD1" w14:textId="77777777" w:rsidR="00401BAE" w:rsidRDefault="00401BAE" w:rsidP="00401BAE">
      <w:pPr>
        <w:rPr>
          <w:b/>
        </w:rPr>
      </w:pPr>
      <w:r>
        <w:rPr>
          <w:b/>
        </w:rPr>
        <w:t>Books Edited</w:t>
      </w:r>
    </w:p>
    <w:p w14:paraId="3999D0C3" w14:textId="77777777" w:rsidR="00401BAE" w:rsidRPr="00984ED4" w:rsidRDefault="00401BAE" w:rsidP="00401BAE">
      <w:pPr>
        <w:ind w:left="360"/>
        <w:rPr>
          <w:b/>
        </w:rPr>
      </w:pPr>
    </w:p>
    <w:p w14:paraId="5CEAA394" w14:textId="791FACA0" w:rsidR="00401BAE" w:rsidRPr="00CA2FBC" w:rsidRDefault="00401BAE" w:rsidP="00401BAE">
      <w:pPr>
        <w:numPr>
          <w:ilvl w:val="0"/>
          <w:numId w:val="3"/>
        </w:numPr>
        <w:rPr>
          <w:b/>
        </w:rPr>
      </w:pPr>
      <w:r>
        <w:t xml:space="preserve">Guido Calabresi, </w:t>
      </w:r>
      <w:r>
        <w:rPr>
          <w:i/>
        </w:rPr>
        <w:t xml:space="preserve">Il mestiere di giudice. Pensieri di un accademico americano </w:t>
      </w:r>
      <w:r>
        <w:t>(</w:t>
      </w:r>
      <w:r>
        <w:rPr>
          <w:sz w:val="22"/>
          <w:szCs w:val="22"/>
        </w:rPr>
        <w:t>Being a Judge. Thoughts of an American Scholar)</w:t>
      </w:r>
      <w:r w:rsidR="001432F7">
        <w:t>, Bologna, i</w:t>
      </w:r>
      <w:r>
        <w:t>l Mulino, 2013</w:t>
      </w:r>
    </w:p>
    <w:p w14:paraId="30923D55" w14:textId="77777777" w:rsidR="00401BAE" w:rsidRPr="00CA2FBC" w:rsidRDefault="00401BAE" w:rsidP="00401BAE">
      <w:pPr>
        <w:ind w:left="360"/>
        <w:rPr>
          <w:b/>
        </w:rPr>
      </w:pPr>
    </w:p>
    <w:p w14:paraId="7547B42D" w14:textId="1D3797F5" w:rsidR="00401BAE" w:rsidRDefault="00401BAE" w:rsidP="00401BAE">
      <w:pPr>
        <w:numPr>
          <w:ilvl w:val="0"/>
          <w:numId w:val="3"/>
        </w:numPr>
        <w:jc w:val="both"/>
        <w:rPr>
          <w:b/>
        </w:rPr>
      </w:pPr>
      <w:r>
        <w:t xml:space="preserve">Robert A. Burt, </w:t>
      </w:r>
      <w:r>
        <w:rPr>
          <w:i/>
        </w:rPr>
        <w:t>Libertà e giustizia per tutti. Cosa possono fare le Corti contro la discriminazione negli Stati Uniti</w:t>
      </w:r>
      <w:r>
        <w:t xml:space="preserve"> (</w:t>
      </w:r>
      <w:r w:rsidRPr="00CA2FBC">
        <w:rPr>
          <w:i/>
          <w:sz w:val="20"/>
          <w:szCs w:val="20"/>
        </w:rPr>
        <w:t>With Liberty and Justice for All</w:t>
      </w:r>
      <w:r w:rsidR="001432F7">
        <w:t>), Bologna, i</w:t>
      </w:r>
      <w:r>
        <w:t xml:space="preserve">l Mulino, 2014 </w:t>
      </w:r>
    </w:p>
    <w:p w14:paraId="571B7AF7" w14:textId="77777777" w:rsidR="00401BAE" w:rsidRDefault="00401BAE" w:rsidP="00401BAE">
      <w:pPr>
        <w:jc w:val="both"/>
        <w:rPr>
          <w:b/>
        </w:rPr>
      </w:pPr>
    </w:p>
    <w:p w14:paraId="54494D17" w14:textId="10533881" w:rsidR="00401BAE" w:rsidRPr="001432F7" w:rsidRDefault="00401BAE" w:rsidP="00401BAE">
      <w:pPr>
        <w:numPr>
          <w:ilvl w:val="0"/>
          <w:numId w:val="3"/>
        </w:numPr>
        <w:jc w:val="both"/>
        <w:rPr>
          <w:b/>
        </w:rPr>
      </w:pPr>
      <w:r>
        <w:t xml:space="preserve">Christopher McCrudden, </w:t>
      </w:r>
      <w:r w:rsidR="00C16DF2">
        <w:rPr>
          <w:i/>
        </w:rPr>
        <w:t xml:space="preserve">Quando i giudici parlano di Dio. Fede, pluralismo e diritti </w:t>
      </w:r>
      <w:r w:rsidR="0024617F">
        <w:rPr>
          <w:i/>
        </w:rPr>
        <w:t>umani</w:t>
      </w:r>
      <w:r w:rsidR="001432F7">
        <w:t>, Bologna, i</w:t>
      </w:r>
      <w:r w:rsidR="00441923">
        <w:t>l Mulino, 2017</w:t>
      </w:r>
    </w:p>
    <w:p w14:paraId="261C5E97" w14:textId="77777777" w:rsidR="001432F7" w:rsidRDefault="001432F7" w:rsidP="001432F7">
      <w:pPr>
        <w:jc w:val="both"/>
        <w:rPr>
          <w:b/>
        </w:rPr>
      </w:pPr>
    </w:p>
    <w:p w14:paraId="5A5FBE82" w14:textId="7516DDE0" w:rsidR="001432F7" w:rsidRPr="00984ED4" w:rsidRDefault="001432F7" w:rsidP="00401BAE">
      <w:pPr>
        <w:numPr>
          <w:ilvl w:val="0"/>
          <w:numId w:val="3"/>
        </w:numPr>
        <w:jc w:val="both"/>
        <w:rPr>
          <w:b/>
        </w:rPr>
      </w:pPr>
      <w:r>
        <w:t xml:space="preserve">Sonia Sotomayor, </w:t>
      </w:r>
      <w:r w:rsidR="001D4C81">
        <w:rPr>
          <w:i/>
        </w:rPr>
        <w:t>Il mio mondo amatissimo. Storia di un giudice dal Bronx alla Corte Suprema</w:t>
      </w:r>
      <w:r>
        <w:t>, Bologna, i</w:t>
      </w:r>
      <w:r w:rsidR="00441923">
        <w:t>l Mulino, 2017</w:t>
      </w:r>
    </w:p>
    <w:p w14:paraId="1B1F52C2" w14:textId="77777777" w:rsidR="00401BAE" w:rsidRDefault="00401BAE" w:rsidP="00401BAE">
      <w:pPr>
        <w:jc w:val="both"/>
        <w:rPr>
          <w:b/>
        </w:rPr>
      </w:pPr>
    </w:p>
    <w:p w14:paraId="1BB6A96E" w14:textId="77777777" w:rsidR="00401BAE" w:rsidRDefault="00401BAE" w:rsidP="00401BAE">
      <w:pPr>
        <w:rPr>
          <w:b/>
        </w:rPr>
      </w:pPr>
    </w:p>
    <w:p w14:paraId="498EA957" w14:textId="77777777" w:rsidR="00401BAE" w:rsidRPr="009600CD" w:rsidRDefault="00401BAE" w:rsidP="00401BAE">
      <w:pPr>
        <w:rPr>
          <w:b/>
        </w:rPr>
      </w:pPr>
      <w:r w:rsidRPr="009600CD">
        <w:rPr>
          <w:b/>
        </w:rPr>
        <w:t>Chapters in Books</w:t>
      </w:r>
    </w:p>
    <w:p w14:paraId="01035A48" w14:textId="77777777" w:rsidR="00401BAE" w:rsidRDefault="00401BAE" w:rsidP="00401BAE">
      <w:pPr>
        <w:rPr>
          <w:b/>
          <w:i/>
        </w:rPr>
      </w:pPr>
    </w:p>
    <w:p w14:paraId="78AB304E" w14:textId="77777777" w:rsidR="00401BAE" w:rsidRDefault="00401BAE" w:rsidP="00401BAE">
      <w:pPr>
        <w:numPr>
          <w:ilvl w:val="0"/>
          <w:numId w:val="3"/>
        </w:numPr>
        <w:jc w:val="both"/>
      </w:pPr>
      <w:r>
        <w:t>«</w:t>
      </w:r>
      <w:r w:rsidRPr="00104DE0">
        <w:rPr>
          <w:i/>
        </w:rPr>
        <w:t>La tutela dei diritti negli Stati Uniti: la privacy e la “giusta distanza”</w:t>
      </w:r>
      <w:r>
        <w:t>» (</w:t>
      </w:r>
      <w:r w:rsidRPr="00104DE0">
        <w:rPr>
          <w:sz w:val="20"/>
          <w:szCs w:val="20"/>
        </w:rPr>
        <w:t>Protection of rights in the United States: Privacy and the “Right Distance”</w:t>
      </w:r>
      <w:r>
        <w:t xml:space="preserve">), in S. Gambino (ed.), </w:t>
      </w:r>
      <w:r w:rsidRPr="00104DE0">
        <w:rPr>
          <w:u w:val="single"/>
        </w:rPr>
        <w:t>La protezione dei diritti fondamentali</w:t>
      </w:r>
      <w:r>
        <w:t>, Milano, Giuffré, 2012</w:t>
      </w:r>
    </w:p>
    <w:p w14:paraId="5A690A5C" w14:textId="77777777" w:rsidR="00401BAE" w:rsidRDefault="00401BAE" w:rsidP="00401BAE">
      <w:pPr>
        <w:ind w:left="360"/>
        <w:jc w:val="both"/>
      </w:pPr>
    </w:p>
    <w:p w14:paraId="0ABF51B4" w14:textId="77777777" w:rsidR="00401BAE" w:rsidRDefault="00401BAE" w:rsidP="00401BAE">
      <w:pPr>
        <w:numPr>
          <w:ilvl w:val="0"/>
          <w:numId w:val="3"/>
        </w:numPr>
        <w:jc w:val="both"/>
      </w:pPr>
      <w:r>
        <w:t xml:space="preserve">«Countermajoritarian difficulty </w:t>
      </w:r>
      <w:r w:rsidRPr="00727CB3">
        <w:rPr>
          <w:i/>
        </w:rPr>
        <w:t>e principio di rappresentanza</w:t>
      </w:r>
      <w:r>
        <w:t>» (</w:t>
      </w:r>
      <w:r w:rsidRPr="00727CB3">
        <w:rPr>
          <w:sz w:val="20"/>
          <w:szCs w:val="20"/>
        </w:rPr>
        <w:t>Countermajoritarian difficulty and representation</w:t>
      </w:r>
      <w:r>
        <w:t xml:space="preserve">), in G. Ruocco, L. Scuccimarra (eds.), </w:t>
      </w:r>
      <w:r w:rsidRPr="00727CB3">
        <w:rPr>
          <w:u w:val="single"/>
        </w:rPr>
        <w:t>Il governo del popolo</w:t>
      </w:r>
      <w:r>
        <w:t xml:space="preserve"> (</w:t>
      </w:r>
      <w:r w:rsidRPr="00727CB3">
        <w:rPr>
          <w:sz w:val="20"/>
          <w:szCs w:val="20"/>
        </w:rPr>
        <w:t>People’s Government</w:t>
      </w:r>
      <w:r>
        <w:t>), Rome, Viella, 2012</w:t>
      </w:r>
    </w:p>
    <w:p w14:paraId="68AE178B" w14:textId="77777777" w:rsidR="00401BAE" w:rsidRDefault="00401BAE" w:rsidP="00401BAE">
      <w:pPr>
        <w:jc w:val="both"/>
      </w:pPr>
    </w:p>
    <w:p w14:paraId="79CA0F54" w14:textId="28C86CBE" w:rsidR="00401BAE" w:rsidRDefault="00401BAE" w:rsidP="00401BAE">
      <w:pPr>
        <w:numPr>
          <w:ilvl w:val="0"/>
          <w:numId w:val="3"/>
        </w:numPr>
        <w:jc w:val="both"/>
      </w:pPr>
      <w:r>
        <w:t>«</w:t>
      </w:r>
      <w:r w:rsidRPr="00225DCE">
        <w:t>Scioglimento delle Camere e forma di governo</w:t>
      </w:r>
      <w:r>
        <w:t>» (</w:t>
      </w:r>
      <w:r w:rsidRPr="00233D67">
        <w:rPr>
          <w:i/>
          <w:sz w:val="20"/>
          <w:szCs w:val="20"/>
        </w:rPr>
        <w:t>Dissolvement of Chambers and Constitutional Transformations in Italy</w:t>
      </w:r>
      <w:r>
        <w:t>), in C.</w:t>
      </w:r>
      <w:r w:rsidR="00886B99">
        <w:t xml:space="preserve"> Pinelli, M. Siclari (eds.), </w:t>
      </w:r>
      <w:r w:rsidRPr="00233D67">
        <w:rPr>
          <w:u w:val="single"/>
        </w:rPr>
        <w:t xml:space="preserve">I mutamenti della forma di governo tra </w:t>
      </w:r>
      <w:r w:rsidRPr="000C6CC3">
        <w:rPr>
          <w:u w:val="single"/>
        </w:rPr>
        <w:t>modifiche tacite e proposte di riforma</w:t>
      </w:r>
      <w:r w:rsidRPr="00233D67">
        <w:t xml:space="preserve"> </w:t>
      </w:r>
      <w:r>
        <w:t>(</w:t>
      </w:r>
      <w:r w:rsidRPr="000C6CC3">
        <w:rPr>
          <w:sz w:val="20"/>
          <w:szCs w:val="20"/>
        </w:rPr>
        <w:t>Implied Constitutional Transformations in Italy</w:t>
      </w:r>
      <w:r w:rsidR="00886B99">
        <w:t>), Rome</w:t>
      </w:r>
      <w:r>
        <w:t>, Aracne, 2009</w:t>
      </w:r>
    </w:p>
    <w:p w14:paraId="57BAEF91" w14:textId="77777777" w:rsidR="00401BAE" w:rsidRPr="00271265" w:rsidRDefault="00401BAE" w:rsidP="00401BAE">
      <w:pPr>
        <w:jc w:val="both"/>
      </w:pPr>
    </w:p>
    <w:p w14:paraId="398576CD" w14:textId="77777777" w:rsidR="00401BAE" w:rsidRDefault="00401BAE" w:rsidP="00401BAE">
      <w:pPr>
        <w:numPr>
          <w:ilvl w:val="0"/>
          <w:numId w:val="3"/>
        </w:numPr>
        <w:jc w:val="both"/>
      </w:pPr>
      <w:r>
        <w:t>«</w:t>
      </w:r>
      <w:r w:rsidRPr="00271265">
        <w:rPr>
          <w:iCs/>
        </w:rPr>
        <w:t>La tutela dei diritti fondamentali negli Stati Uniti: esperienze a confronto con l’Italia su alcuni diritti</w:t>
      </w:r>
      <w:r>
        <w:t>» (</w:t>
      </w:r>
      <w:r>
        <w:rPr>
          <w:sz w:val="20"/>
        </w:rPr>
        <w:t>Sexual Liberty and Abortion in the U. S. and Italy: A Comparison Between Two Different Constitutional Adjudication Systems</w:t>
      </w:r>
      <w:r>
        <w:t xml:space="preserve">), in E. Malfatti, R. Romboli, E. Rossi (eds.), </w:t>
      </w:r>
      <w:r w:rsidRPr="00233D67">
        <w:rPr>
          <w:iCs/>
          <w:u w:val="single"/>
        </w:rPr>
        <w:t>Il giudizio sulle leggi e la sua “diffusione”</w:t>
      </w:r>
      <w:r>
        <w:rPr>
          <w:iCs/>
          <w:u w:val="single"/>
        </w:rPr>
        <w:t>,</w:t>
      </w:r>
      <w:r>
        <w:rPr>
          <w:i/>
          <w:iCs/>
        </w:rPr>
        <w:t xml:space="preserve"> </w:t>
      </w:r>
      <w:r w:rsidRPr="00233D67">
        <w:rPr>
          <w:iCs/>
        </w:rPr>
        <w:t>Turin</w:t>
      </w:r>
      <w:r w:rsidRPr="00233D67">
        <w:t>, Giappichelli, 2002, pp. 341-373</w:t>
      </w:r>
      <w:r w:rsidRPr="00233D67">
        <w:rPr>
          <w:i/>
          <w:iCs/>
        </w:rPr>
        <w:t xml:space="preserve"> </w:t>
      </w:r>
      <w:r w:rsidRPr="00233D67">
        <w:t>(</w:t>
      </w:r>
      <w:r w:rsidRPr="00233D67">
        <w:rPr>
          <w:i/>
          <w:iCs/>
          <w:sz w:val="20"/>
        </w:rPr>
        <w:t xml:space="preserve">Judicial </w:t>
      </w:r>
      <w:r>
        <w:rPr>
          <w:i/>
          <w:iCs/>
          <w:sz w:val="20"/>
        </w:rPr>
        <w:t>Review as It Works in the U.S.:</w:t>
      </w:r>
      <w:r w:rsidRPr="00233D67">
        <w:rPr>
          <w:i/>
          <w:iCs/>
          <w:sz w:val="20"/>
        </w:rPr>
        <w:t xml:space="preserve"> Is the Italian System Comparable to It?</w:t>
      </w:r>
      <w:r>
        <w:t>)</w:t>
      </w:r>
    </w:p>
    <w:p w14:paraId="2C97A936" w14:textId="77777777" w:rsidR="00401BAE" w:rsidRPr="00233D67" w:rsidRDefault="00401BAE" w:rsidP="00401BAE">
      <w:pPr>
        <w:jc w:val="both"/>
      </w:pPr>
    </w:p>
    <w:p w14:paraId="51434A8B" w14:textId="77777777" w:rsidR="00401BAE" w:rsidRDefault="00401BAE" w:rsidP="00401BAE">
      <w:pPr>
        <w:jc w:val="both"/>
        <w:rPr>
          <w:b/>
          <w:lang w:val="en-GB"/>
        </w:rPr>
      </w:pPr>
    </w:p>
    <w:p w14:paraId="1D8F8CBE" w14:textId="77777777" w:rsidR="00401BAE" w:rsidRDefault="00401BAE" w:rsidP="00401BAE">
      <w:pPr>
        <w:jc w:val="both"/>
        <w:rPr>
          <w:b/>
          <w:lang w:val="en-GB"/>
        </w:rPr>
      </w:pPr>
      <w:r>
        <w:rPr>
          <w:b/>
          <w:lang w:val="en-GB"/>
        </w:rPr>
        <w:t>Chapters in Books Published Abroad</w:t>
      </w:r>
    </w:p>
    <w:p w14:paraId="27170B20" w14:textId="77777777" w:rsidR="00401BAE" w:rsidRDefault="00401BAE" w:rsidP="00401BAE">
      <w:pPr>
        <w:jc w:val="both"/>
        <w:rPr>
          <w:b/>
          <w:lang w:val="en-GB"/>
        </w:rPr>
      </w:pPr>
    </w:p>
    <w:p w14:paraId="1353ECDA" w14:textId="77777777" w:rsidR="00AD4F0B" w:rsidRPr="00AD4F0B" w:rsidRDefault="00AD4F0B" w:rsidP="00AD4F0B">
      <w:pPr>
        <w:ind w:left="360"/>
        <w:jc w:val="both"/>
      </w:pPr>
    </w:p>
    <w:p w14:paraId="3A1283A5" w14:textId="77777777" w:rsidR="00401BAE" w:rsidRDefault="00401BAE" w:rsidP="00401BAE">
      <w:pPr>
        <w:numPr>
          <w:ilvl w:val="0"/>
          <w:numId w:val="3"/>
        </w:numPr>
        <w:jc w:val="both"/>
      </w:pPr>
      <w:r w:rsidRPr="00511E7A">
        <w:rPr>
          <w:lang w:val="en-GB"/>
        </w:rPr>
        <w:t>«El Ministerio de Relaciones con el Parlamento en Italia» («</w:t>
      </w:r>
      <w:r w:rsidRPr="00511E7A">
        <w:rPr>
          <w:sz w:val="20"/>
          <w:szCs w:val="20"/>
          <w:lang w:val="en-GB"/>
        </w:rPr>
        <w:t>The Ministry of Relations with Parliament in Italy</w:t>
      </w:r>
      <w:r w:rsidRPr="00511E7A">
        <w:rPr>
          <w:lang w:val="en-GB"/>
        </w:rPr>
        <w:t xml:space="preserve">»), in M. A. Priesno Linera, D. Sarmiento (eds.), </w:t>
      </w:r>
      <w:r w:rsidRPr="00233D67">
        <w:rPr>
          <w:u w:val="single"/>
          <w:lang w:val="en-GB"/>
        </w:rPr>
        <w:t xml:space="preserve">La coordinaciòn de las relaciones entre el Gobierno y el Parlamento. </w:t>
      </w:r>
      <w:r w:rsidRPr="00233D67">
        <w:rPr>
          <w:u w:val="single"/>
        </w:rPr>
        <w:t>Una mirada</w:t>
      </w:r>
      <w:r>
        <w:rPr>
          <w:i/>
        </w:rPr>
        <w:t xml:space="preserve"> </w:t>
      </w:r>
      <w:r>
        <w:t>(</w:t>
      </w:r>
      <w:r w:rsidRPr="00233D67">
        <w:rPr>
          <w:sz w:val="20"/>
          <w:szCs w:val="20"/>
        </w:rPr>
        <w:t xml:space="preserve">Relations Between Government and Parliament. A Comparative </w:t>
      </w:r>
      <w:r w:rsidRPr="00DB6A5E">
        <w:rPr>
          <w:sz w:val="20"/>
          <w:szCs w:val="20"/>
        </w:rPr>
        <w:t>Perspective</w:t>
      </w:r>
      <w:r>
        <w:t>), Madrid, Secretarìa de Estado de Relaciones con las Cortes, Ministerio de la Presidencia, 2007</w:t>
      </w:r>
    </w:p>
    <w:p w14:paraId="7351338B" w14:textId="77777777" w:rsidR="00401BAE" w:rsidRDefault="00401BAE" w:rsidP="00401BAE">
      <w:pPr>
        <w:jc w:val="both"/>
      </w:pPr>
    </w:p>
    <w:p w14:paraId="0D335D33" w14:textId="77777777" w:rsidR="00401BAE" w:rsidRDefault="00401BAE" w:rsidP="00401BAE">
      <w:pPr>
        <w:rPr>
          <w:b/>
          <w:lang w:val="en-GB"/>
        </w:rPr>
      </w:pPr>
    </w:p>
    <w:p w14:paraId="068B3131" w14:textId="77777777" w:rsidR="00401BAE" w:rsidRPr="009600CD" w:rsidRDefault="00401BAE" w:rsidP="00401BAE">
      <w:pPr>
        <w:rPr>
          <w:b/>
          <w:lang w:val="en-GB"/>
        </w:rPr>
      </w:pPr>
      <w:r w:rsidRPr="009600CD">
        <w:rPr>
          <w:b/>
          <w:lang w:val="en-GB"/>
        </w:rPr>
        <w:t>Peer-Reviewed Articles Published in Italy</w:t>
      </w:r>
    </w:p>
    <w:p w14:paraId="24EAD91A" w14:textId="77777777" w:rsidR="00401BAE" w:rsidRPr="009600CD" w:rsidRDefault="00401BAE" w:rsidP="00401BAE">
      <w:pPr>
        <w:rPr>
          <w:b/>
          <w:lang w:val="en-GB"/>
        </w:rPr>
      </w:pPr>
    </w:p>
    <w:p w14:paraId="5977A612" w14:textId="0C1E720B" w:rsidR="00DE466A" w:rsidRDefault="00DE466A" w:rsidP="00401BAE">
      <w:pPr>
        <w:numPr>
          <w:ilvl w:val="0"/>
          <w:numId w:val="3"/>
        </w:numPr>
        <w:jc w:val="both"/>
      </w:pPr>
      <w:r>
        <w:t xml:space="preserve">«Law and the “Right to Die”. Filling a Reservoir with an Eye-Dropper», in </w:t>
      </w:r>
      <w:r w:rsidRPr="008D4245">
        <w:rPr>
          <w:i/>
        </w:rPr>
        <w:t>BioLaw</w:t>
      </w:r>
      <w:r>
        <w:t>, 3/2016</w:t>
      </w:r>
    </w:p>
    <w:p w14:paraId="3283FA19" w14:textId="77777777" w:rsidR="00DE466A" w:rsidRDefault="00DE466A" w:rsidP="00DE466A">
      <w:pPr>
        <w:ind w:left="360"/>
        <w:jc w:val="both"/>
      </w:pPr>
    </w:p>
    <w:p w14:paraId="516D2A17" w14:textId="6EBF4531" w:rsidR="00ED708E" w:rsidRDefault="00ED708E" w:rsidP="00401BAE">
      <w:pPr>
        <w:numPr>
          <w:ilvl w:val="0"/>
          <w:numId w:val="3"/>
        </w:numPr>
        <w:jc w:val="both"/>
      </w:pPr>
      <w:r>
        <w:t>«”Vivere insieme” all’ombra del velo», (</w:t>
      </w:r>
      <w:r w:rsidRPr="00ED708E">
        <w:rPr>
          <w:sz w:val="20"/>
          <w:szCs w:val="20"/>
        </w:rPr>
        <w:t>Living Together in the Full Face Veil’s Shadow</w:t>
      </w:r>
      <w:r>
        <w:t xml:space="preserve">), in </w:t>
      </w:r>
      <w:r w:rsidRPr="008D4245">
        <w:rPr>
          <w:i/>
        </w:rPr>
        <w:t>Diritto pubblico</w:t>
      </w:r>
      <w:r>
        <w:t>, 3/2014</w:t>
      </w:r>
    </w:p>
    <w:p w14:paraId="7840F336" w14:textId="77777777" w:rsidR="00ED708E" w:rsidRDefault="00ED708E" w:rsidP="00ED708E">
      <w:pPr>
        <w:ind w:left="360"/>
        <w:jc w:val="both"/>
      </w:pPr>
    </w:p>
    <w:p w14:paraId="60978C0A" w14:textId="4CB88960" w:rsidR="00401BAE" w:rsidRDefault="00401BAE" w:rsidP="00401BAE">
      <w:pPr>
        <w:numPr>
          <w:ilvl w:val="0"/>
          <w:numId w:val="3"/>
        </w:numPr>
        <w:jc w:val="both"/>
      </w:pPr>
      <w:r>
        <w:t>«</w:t>
      </w:r>
      <w:r w:rsidRPr="00984ED4">
        <w:rPr>
          <w:i/>
        </w:rPr>
        <w:t>The Vincent Lamber Case: Who Will Be Able to Unravel the Knot?</w:t>
      </w:r>
      <w:r>
        <w:t xml:space="preserve">», in </w:t>
      </w:r>
      <w:r w:rsidRPr="008D4245">
        <w:rPr>
          <w:i/>
        </w:rPr>
        <w:t>BioLaw</w:t>
      </w:r>
      <w:r>
        <w:t>, n. 2, 2014</w:t>
      </w:r>
    </w:p>
    <w:p w14:paraId="30E4546B" w14:textId="77777777" w:rsidR="00401BAE" w:rsidRDefault="00401BAE" w:rsidP="00401BAE">
      <w:pPr>
        <w:ind w:left="360"/>
        <w:jc w:val="both"/>
      </w:pPr>
    </w:p>
    <w:p w14:paraId="42875F38" w14:textId="77777777" w:rsidR="00401BAE" w:rsidRDefault="00401BAE" w:rsidP="00401BAE">
      <w:pPr>
        <w:numPr>
          <w:ilvl w:val="0"/>
          <w:numId w:val="3"/>
        </w:numPr>
        <w:jc w:val="both"/>
      </w:pPr>
      <w:r>
        <w:t>«</w:t>
      </w:r>
      <w:r>
        <w:rPr>
          <w:i/>
        </w:rPr>
        <w:t>Paradossi e finzioni del “diritto a morire”</w:t>
      </w:r>
      <w:r>
        <w:t>» (</w:t>
      </w:r>
      <w:r w:rsidRPr="002628CF">
        <w:rPr>
          <w:sz w:val="20"/>
          <w:szCs w:val="20"/>
        </w:rPr>
        <w:t>Paradoxes and Fictions of the «Right to Die»</w:t>
      </w:r>
      <w:r>
        <w:t xml:space="preserve">), in </w:t>
      </w:r>
      <w:r w:rsidRPr="008D4245">
        <w:rPr>
          <w:i/>
        </w:rPr>
        <w:t>Diritto pubblico</w:t>
      </w:r>
      <w:r>
        <w:t>, n. 4/2012</w:t>
      </w:r>
    </w:p>
    <w:p w14:paraId="5E5CB2B8" w14:textId="77777777" w:rsidR="00401BAE" w:rsidRDefault="00401BAE" w:rsidP="00401BAE">
      <w:pPr>
        <w:ind w:left="360"/>
        <w:jc w:val="both"/>
      </w:pPr>
    </w:p>
    <w:p w14:paraId="254132B5" w14:textId="77777777" w:rsidR="00401BAE" w:rsidRDefault="00401BAE" w:rsidP="00401BAE">
      <w:pPr>
        <w:numPr>
          <w:ilvl w:val="0"/>
          <w:numId w:val="3"/>
        </w:numPr>
        <w:jc w:val="both"/>
      </w:pPr>
      <w:r>
        <w:t>«</w:t>
      </w:r>
      <w:r>
        <w:rPr>
          <w:i/>
        </w:rPr>
        <w:t xml:space="preserve">Marbury v. Madison </w:t>
      </w:r>
      <w:r>
        <w:t>e le origini della giustizia costituzionale negli Stati Uniti» (</w:t>
      </w:r>
      <w:r>
        <w:rPr>
          <w:sz w:val="20"/>
          <w:szCs w:val="20"/>
        </w:rPr>
        <w:t xml:space="preserve">Marbury v. Madison </w:t>
      </w:r>
      <w:r>
        <w:rPr>
          <w:i/>
          <w:sz w:val="20"/>
          <w:szCs w:val="20"/>
        </w:rPr>
        <w:t>and the Origins of Judicial Review in the United States</w:t>
      </w:r>
      <w:r>
        <w:t xml:space="preserve">), in </w:t>
      </w:r>
      <w:r w:rsidRPr="008D4245">
        <w:rPr>
          <w:i/>
        </w:rPr>
        <w:t>Annali ISAP</w:t>
      </w:r>
      <w:r>
        <w:t>, n. 19, il Mulino, 2010</w:t>
      </w:r>
    </w:p>
    <w:p w14:paraId="514318E1" w14:textId="77777777" w:rsidR="00401BAE" w:rsidRPr="0021055A" w:rsidRDefault="00401BAE" w:rsidP="00401BAE">
      <w:pPr>
        <w:jc w:val="both"/>
      </w:pPr>
    </w:p>
    <w:p w14:paraId="161E4263" w14:textId="77777777" w:rsidR="00401BAE" w:rsidRDefault="00401BAE" w:rsidP="00401BAE">
      <w:pPr>
        <w:numPr>
          <w:ilvl w:val="0"/>
          <w:numId w:val="3"/>
        </w:numPr>
        <w:jc w:val="both"/>
        <w:rPr>
          <w:lang w:val="en-GB"/>
        </w:rPr>
      </w:pPr>
      <w:r>
        <w:t>«La morte che ci sfugge. Le dichiarazioni anticipate di volontà ed il limite del rispetto della persona umana» (</w:t>
      </w:r>
      <w:r>
        <w:rPr>
          <w:sz w:val="20"/>
          <w:szCs w:val="20"/>
        </w:rPr>
        <w:t xml:space="preserve">«The Death Which Slips Out of Our Hands. </w:t>
      </w:r>
      <w:r w:rsidRPr="00DB5D84">
        <w:rPr>
          <w:sz w:val="20"/>
          <w:szCs w:val="20"/>
          <w:lang w:val="en-GB"/>
        </w:rPr>
        <w:t>The Living Will and the Limit</w:t>
      </w:r>
      <w:r>
        <w:rPr>
          <w:sz w:val="20"/>
          <w:szCs w:val="20"/>
          <w:lang w:val="en-GB"/>
        </w:rPr>
        <w:t xml:space="preserve"> o</w:t>
      </w:r>
      <w:r w:rsidRPr="00DB5D84">
        <w:rPr>
          <w:sz w:val="20"/>
          <w:szCs w:val="20"/>
          <w:lang w:val="en-GB"/>
        </w:rPr>
        <w:t xml:space="preserve">f the Respect of </w:t>
      </w:r>
      <w:r>
        <w:rPr>
          <w:sz w:val="20"/>
          <w:szCs w:val="20"/>
          <w:lang w:val="en-GB"/>
        </w:rPr>
        <w:t xml:space="preserve">the </w:t>
      </w:r>
      <w:r w:rsidRPr="00DB5D84">
        <w:rPr>
          <w:sz w:val="20"/>
          <w:szCs w:val="20"/>
          <w:lang w:val="en-GB"/>
        </w:rPr>
        <w:t>Human Person»</w:t>
      </w:r>
      <w:r>
        <w:rPr>
          <w:lang w:val="en-GB"/>
        </w:rPr>
        <w:t>), in A.S.T.R.I.D. (</w:t>
      </w:r>
      <w:hyperlink r:id="rId8" w:history="1">
        <w:r w:rsidRPr="00FE6138">
          <w:rPr>
            <w:rStyle w:val="Collegamentoipertestuale"/>
          </w:rPr>
          <w:t>www.astrid-online.it</w:t>
        </w:r>
      </w:hyperlink>
      <w:r>
        <w:rPr>
          <w:lang w:val="en-GB"/>
        </w:rPr>
        <w:t>), october 2009</w:t>
      </w:r>
    </w:p>
    <w:p w14:paraId="21E590DB" w14:textId="77777777" w:rsidR="00401BAE" w:rsidRPr="00DB5D84" w:rsidRDefault="00401BAE" w:rsidP="00401BAE">
      <w:pPr>
        <w:jc w:val="both"/>
        <w:rPr>
          <w:lang w:val="en-GB"/>
        </w:rPr>
      </w:pPr>
    </w:p>
    <w:p w14:paraId="7EF2E092" w14:textId="77777777" w:rsidR="00401BAE" w:rsidRDefault="00401BAE" w:rsidP="00401BAE">
      <w:pPr>
        <w:numPr>
          <w:ilvl w:val="0"/>
          <w:numId w:val="3"/>
        </w:numPr>
        <w:jc w:val="both"/>
      </w:pPr>
      <w:r w:rsidRPr="0081279E">
        <w:t xml:space="preserve">«L’invenzione di </w:t>
      </w:r>
      <w:r w:rsidRPr="0081279E">
        <w:rPr>
          <w:i/>
        </w:rPr>
        <w:t>Marbury v. Madison</w:t>
      </w:r>
      <w:r w:rsidRPr="0081279E">
        <w:t>» (</w:t>
      </w:r>
      <w:r w:rsidRPr="0081279E">
        <w:rPr>
          <w:sz w:val="20"/>
          <w:szCs w:val="20"/>
        </w:rPr>
        <w:t xml:space="preserve">The Invention of </w:t>
      </w:r>
      <w:r w:rsidRPr="0081279E">
        <w:rPr>
          <w:i/>
          <w:sz w:val="20"/>
          <w:szCs w:val="20"/>
        </w:rPr>
        <w:t>Marbury v. Madison</w:t>
      </w:r>
      <w:r w:rsidRPr="0081279E">
        <w:t xml:space="preserve">), in </w:t>
      </w:r>
      <w:r w:rsidRPr="008D4245">
        <w:rPr>
          <w:i/>
        </w:rPr>
        <w:t>Giornale di Storia costituzionale</w:t>
      </w:r>
      <w:r w:rsidRPr="0081279E">
        <w:t xml:space="preserve">, vol. </w:t>
      </w:r>
      <w:r>
        <w:t>11, 2008</w:t>
      </w:r>
    </w:p>
    <w:p w14:paraId="469E3806" w14:textId="77777777" w:rsidR="00401BAE" w:rsidRPr="0081279E" w:rsidRDefault="00401BAE" w:rsidP="00401BAE">
      <w:pPr>
        <w:jc w:val="both"/>
      </w:pPr>
    </w:p>
    <w:p w14:paraId="3ED8291A" w14:textId="77777777" w:rsidR="00401BAE" w:rsidRPr="00F934F9" w:rsidRDefault="00401BAE" w:rsidP="00401BAE">
      <w:pPr>
        <w:numPr>
          <w:ilvl w:val="0"/>
          <w:numId w:val="3"/>
        </w:numPr>
        <w:jc w:val="both"/>
      </w:pPr>
      <w:r>
        <w:t>«Revisioni della Costituzione e revisionismo» (</w:t>
      </w:r>
      <w:r>
        <w:rPr>
          <w:sz w:val="20"/>
          <w:szCs w:val="20"/>
        </w:rPr>
        <w:t>Revisions of the Constitution and Revisionism</w:t>
      </w:r>
      <w:r>
        <w:t xml:space="preserve">), in </w:t>
      </w:r>
      <w:r w:rsidRPr="008D4245">
        <w:rPr>
          <w:i/>
        </w:rPr>
        <w:t>Novecento</w:t>
      </w:r>
      <w:r>
        <w:t xml:space="preserve"> (2006)</w:t>
      </w:r>
    </w:p>
    <w:p w14:paraId="05ADAC01" w14:textId="77777777" w:rsidR="00401BAE" w:rsidRDefault="00401BAE" w:rsidP="00401BAE">
      <w:pPr>
        <w:jc w:val="both"/>
        <w:rPr>
          <w:lang w:val="en-GB"/>
        </w:rPr>
      </w:pPr>
    </w:p>
    <w:p w14:paraId="72AC68DE" w14:textId="77777777" w:rsidR="00401BAE" w:rsidRDefault="00401BAE" w:rsidP="00401BAE">
      <w:pPr>
        <w:numPr>
          <w:ilvl w:val="0"/>
          <w:numId w:val="3"/>
        </w:numPr>
        <w:jc w:val="both"/>
        <w:rPr>
          <w:lang w:val="en-GB"/>
        </w:rPr>
      </w:pPr>
      <w:r w:rsidRPr="0076540B">
        <w:rPr>
          <w:lang w:val="en-GB"/>
        </w:rPr>
        <w:t>«Good night, and good l</w:t>
      </w:r>
      <w:r>
        <w:rPr>
          <w:lang w:val="en-GB"/>
        </w:rPr>
        <w:t xml:space="preserve">uck» (con Cesare Pinelli), in </w:t>
      </w:r>
      <w:r w:rsidRPr="008D4245">
        <w:rPr>
          <w:i/>
          <w:lang w:val="en-GB"/>
        </w:rPr>
        <w:t>Novecento</w:t>
      </w:r>
      <w:r>
        <w:rPr>
          <w:lang w:val="en-GB"/>
        </w:rPr>
        <w:t xml:space="preserve"> (2006)</w:t>
      </w:r>
    </w:p>
    <w:p w14:paraId="5B4009ED" w14:textId="77777777" w:rsidR="00401BAE" w:rsidRPr="0076540B" w:rsidRDefault="00401BAE" w:rsidP="00401BAE">
      <w:pPr>
        <w:jc w:val="both"/>
        <w:rPr>
          <w:lang w:val="en-GB"/>
        </w:rPr>
      </w:pPr>
    </w:p>
    <w:p w14:paraId="42C9BDE9" w14:textId="77777777" w:rsidR="00401BAE" w:rsidRPr="00B10A97" w:rsidRDefault="00401BAE" w:rsidP="00401BAE">
      <w:pPr>
        <w:numPr>
          <w:ilvl w:val="0"/>
          <w:numId w:val="3"/>
        </w:numPr>
        <w:jc w:val="both"/>
        <w:rPr>
          <w:lang w:val="en-GB"/>
        </w:rPr>
      </w:pPr>
      <w:r>
        <w:t xml:space="preserve">«Una </w:t>
      </w:r>
      <w:r>
        <w:rPr>
          <w:i/>
        </w:rPr>
        <w:t xml:space="preserve">ragionevole </w:t>
      </w:r>
      <w:r>
        <w:t xml:space="preserve">apologia dei diritti umani?» </w:t>
      </w:r>
      <w:r w:rsidRPr="0021055A">
        <w:rPr>
          <w:lang w:val="en-GB"/>
        </w:rPr>
        <w:t>(</w:t>
      </w:r>
      <w:r w:rsidRPr="0021055A">
        <w:rPr>
          <w:sz w:val="20"/>
          <w:szCs w:val="20"/>
          <w:lang w:val="en-GB"/>
        </w:rPr>
        <w:t xml:space="preserve">A </w:t>
      </w:r>
      <w:r w:rsidRPr="0021055A">
        <w:rPr>
          <w:i/>
          <w:sz w:val="20"/>
          <w:szCs w:val="20"/>
          <w:lang w:val="en-GB"/>
        </w:rPr>
        <w:t>Reasonable</w:t>
      </w:r>
      <w:r w:rsidRPr="0021055A">
        <w:rPr>
          <w:sz w:val="20"/>
          <w:szCs w:val="20"/>
          <w:lang w:val="en-GB"/>
        </w:rPr>
        <w:t xml:space="preserve"> Apology of Human Righs?</w:t>
      </w:r>
      <w:r w:rsidRPr="0021055A">
        <w:rPr>
          <w:lang w:val="en-GB"/>
        </w:rPr>
        <w:t xml:space="preserve">), in </w:t>
      </w:r>
      <w:r w:rsidRPr="008D4245">
        <w:rPr>
          <w:i/>
          <w:lang w:val="en-GB"/>
        </w:rPr>
        <w:t>Novecento</w:t>
      </w:r>
      <w:r w:rsidRPr="0021055A">
        <w:rPr>
          <w:lang w:val="en-GB"/>
        </w:rPr>
        <w:t xml:space="preserve"> (2004)</w:t>
      </w:r>
    </w:p>
    <w:p w14:paraId="5087744D" w14:textId="77777777" w:rsidR="00401BAE" w:rsidRPr="0021055A" w:rsidRDefault="00401BAE" w:rsidP="00401BAE">
      <w:pPr>
        <w:jc w:val="both"/>
        <w:rPr>
          <w:lang w:val="en-GB"/>
        </w:rPr>
      </w:pPr>
    </w:p>
    <w:p w14:paraId="778593F2" w14:textId="77777777" w:rsidR="00401BAE" w:rsidRDefault="00401BAE" w:rsidP="00401BAE">
      <w:pPr>
        <w:numPr>
          <w:ilvl w:val="0"/>
          <w:numId w:val="3"/>
        </w:numPr>
        <w:jc w:val="both"/>
      </w:pPr>
      <w:r w:rsidRPr="00CA3A79">
        <w:t>«</w:t>
      </w:r>
      <w:r w:rsidRPr="001D0641">
        <w:t>La Corte Suprema federale degli Stati Uniti richiama per la prima volta la giurisprudenza della Corte europea di Strasburgo: il caso</w:t>
      </w:r>
      <w:r>
        <w:rPr>
          <w:i/>
        </w:rPr>
        <w:t xml:space="preserve"> </w:t>
      </w:r>
      <w:r w:rsidRPr="001D0641">
        <w:rPr>
          <w:i/>
        </w:rPr>
        <w:t>Lawrence v. Texas</w:t>
      </w:r>
      <w:r w:rsidRPr="00CA3A79">
        <w:t>»</w:t>
      </w:r>
      <w:r>
        <w:t xml:space="preserve"> (</w:t>
      </w:r>
      <w:r>
        <w:rPr>
          <w:i/>
          <w:sz w:val="20"/>
          <w:szCs w:val="20"/>
        </w:rPr>
        <w:t>Lawrence v. Texas</w:t>
      </w:r>
      <w:r>
        <w:rPr>
          <w:sz w:val="20"/>
          <w:szCs w:val="20"/>
        </w:rPr>
        <w:t>, the First Case in Which the U.S. Federal Supreme Court Refers to ECHR</w:t>
      </w:r>
      <w:r>
        <w:t>)</w:t>
      </w:r>
      <w:r w:rsidRPr="00CA3A79">
        <w:t xml:space="preserve">, </w:t>
      </w:r>
      <w:r>
        <w:t xml:space="preserve">in </w:t>
      </w:r>
      <w:r w:rsidRPr="008D4245">
        <w:rPr>
          <w:i/>
        </w:rPr>
        <w:t>Diritto pubblico comparato ed europeo</w:t>
      </w:r>
      <w:r>
        <w:t>, 2003</w:t>
      </w:r>
    </w:p>
    <w:p w14:paraId="5A89B348" w14:textId="77777777" w:rsidR="00401BAE" w:rsidRDefault="00401BAE" w:rsidP="00401BAE">
      <w:pPr>
        <w:jc w:val="both"/>
      </w:pPr>
    </w:p>
    <w:p w14:paraId="6FAFC179" w14:textId="77777777" w:rsidR="00401BAE" w:rsidRDefault="00401BAE" w:rsidP="00401BAE">
      <w:pPr>
        <w:numPr>
          <w:ilvl w:val="0"/>
          <w:numId w:val="3"/>
        </w:numPr>
        <w:jc w:val="both"/>
      </w:pPr>
      <w:r>
        <w:t>«</w:t>
      </w:r>
      <w:r w:rsidRPr="001D0641">
        <w:t>Come fu che gli uomini salirono il Monte Olimpo: le procedure di designazione e di nomina dei giudici alla Corte Suprema federale degli Stati Uniti</w:t>
      </w:r>
      <w:r>
        <w:t xml:space="preserve">» </w:t>
      </w:r>
      <w:r>
        <w:rPr>
          <w:sz w:val="20"/>
          <w:szCs w:val="20"/>
        </w:rPr>
        <w:t>(Selection and appointment of the U.S. Federal Supreme Court Justices</w:t>
      </w:r>
      <w:r>
        <w:t xml:space="preserve">), in </w:t>
      </w:r>
      <w:r w:rsidRPr="008D4245">
        <w:rPr>
          <w:i/>
        </w:rPr>
        <w:t>Giornale di Storia costituzionale</w:t>
      </w:r>
      <w:r>
        <w:t>, vol. 5, 2003</w:t>
      </w:r>
    </w:p>
    <w:p w14:paraId="449E2383" w14:textId="77777777" w:rsidR="00401BAE" w:rsidRDefault="00401BAE" w:rsidP="00401BAE">
      <w:pPr>
        <w:jc w:val="both"/>
      </w:pPr>
    </w:p>
    <w:p w14:paraId="01C52971" w14:textId="77777777" w:rsidR="00401BAE" w:rsidRPr="0021055A" w:rsidRDefault="00401BAE" w:rsidP="00401BAE">
      <w:pPr>
        <w:numPr>
          <w:ilvl w:val="0"/>
          <w:numId w:val="3"/>
        </w:numPr>
        <w:jc w:val="both"/>
      </w:pPr>
      <w:r>
        <w:t>«</w:t>
      </w:r>
      <w:r w:rsidRPr="003050CB">
        <w:rPr>
          <w:iCs/>
        </w:rPr>
        <w:t>La santità della vita ed il bilanciamento con altri valori nella giurisprudenza inglese ed in quella della Corte Europea dei diritti dell’uomo</w:t>
      </w:r>
      <w:r>
        <w:t>»</w:t>
      </w:r>
      <w:r>
        <w:rPr>
          <w:i/>
          <w:iCs/>
        </w:rPr>
        <w:t xml:space="preserve"> </w:t>
      </w:r>
      <w:r>
        <w:t>(</w:t>
      </w:r>
      <w:r w:rsidRPr="00233D67">
        <w:rPr>
          <w:iCs/>
          <w:sz w:val="20"/>
        </w:rPr>
        <w:t>Sanctity of Life and Other Values in British and in European Court of Human Rights Case-Law on Euthanasia</w:t>
      </w:r>
      <w:r>
        <w:t xml:space="preserve">), in </w:t>
      </w:r>
      <w:r w:rsidRPr="008D4245">
        <w:rPr>
          <w:i/>
          <w:iCs/>
        </w:rPr>
        <w:t>Il Foro Italiano</w:t>
      </w:r>
      <w:r>
        <w:t>, vol. 4, 2002</w:t>
      </w:r>
    </w:p>
    <w:p w14:paraId="03D38728" w14:textId="77777777" w:rsidR="00401BAE" w:rsidRDefault="00401BAE" w:rsidP="00401BAE">
      <w:pPr>
        <w:jc w:val="both"/>
      </w:pPr>
    </w:p>
    <w:p w14:paraId="64F4B85D" w14:textId="77777777" w:rsidR="00401BAE" w:rsidRPr="0021055A" w:rsidRDefault="00401BAE" w:rsidP="00401BAE">
      <w:pPr>
        <w:numPr>
          <w:ilvl w:val="0"/>
          <w:numId w:val="3"/>
        </w:numPr>
        <w:jc w:val="both"/>
        <w:rPr>
          <w:lang w:val="en-GB"/>
        </w:rPr>
      </w:pPr>
      <w:r>
        <w:t>«</w:t>
      </w:r>
      <w:r w:rsidRPr="003050CB">
        <w:rPr>
          <w:iCs/>
        </w:rPr>
        <w:t xml:space="preserve">Vaccinazioni obbligatorie, trattamenti necessari e solidarietà per danni. Osservazione alle sentt. </w:t>
      </w:r>
      <w:r w:rsidRPr="003050CB">
        <w:rPr>
          <w:iCs/>
          <w:lang w:val="en-GB"/>
        </w:rPr>
        <w:t>226 e 423 del 2000</w:t>
      </w:r>
      <w:r w:rsidRPr="00E8672C">
        <w:rPr>
          <w:lang w:val="en-GB"/>
        </w:rPr>
        <w:t>»</w:t>
      </w:r>
      <w:r w:rsidRPr="00E8672C">
        <w:rPr>
          <w:i/>
          <w:iCs/>
          <w:lang w:val="en-GB"/>
        </w:rPr>
        <w:t xml:space="preserve"> </w:t>
      </w:r>
      <w:r w:rsidRPr="00E8672C">
        <w:rPr>
          <w:lang w:val="en-GB"/>
        </w:rPr>
        <w:t>(</w:t>
      </w:r>
      <w:r w:rsidRPr="00233D67">
        <w:rPr>
          <w:iCs/>
          <w:sz w:val="20"/>
          <w:lang w:val="en-GB"/>
        </w:rPr>
        <w:t>Compulsory Vaccinations, Necessary Medical Treatments and Solidarity for Damages: Two Cases</w:t>
      </w:r>
      <w:r w:rsidRPr="00233D67">
        <w:rPr>
          <w:sz w:val="20"/>
          <w:lang w:val="en-GB"/>
        </w:rPr>
        <w:t xml:space="preserve"> </w:t>
      </w:r>
      <w:r w:rsidRPr="00233D67">
        <w:rPr>
          <w:iCs/>
          <w:sz w:val="20"/>
          <w:lang w:val="en-GB"/>
        </w:rPr>
        <w:t>of the Italian</w:t>
      </w:r>
      <w:r w:rsidRPr="00E8672C">
        <w:rPr>
          <w:i/>
          <w:iCs/>
          <w:sz w:val="20"/>
          <w:lang w:val="en-GB"/>
        </w:rPr>
        <w:t xml:space="preserve"> </w:t>
      </w:r>
      <w:r w:rsidRPr="00E8672C">
        <w:rPr>
          <w:sz w:val="20"/>
          <w:lang w:val="en-GB"/>
        </w:rPr>
        <w:t>Corte costituzionale</w:t>
      </w:r>
      <w:r w:rsidRPr="00E8672C">
        <w:rPr>
          <w:lang w:val="en-GB"/>
        </w:rPr>
        <w:t xml:space="preserve">), in </w:t>
      </w:r>
      <w:r w:rsidRPr="008D4245">
        <w:rPr>
          <w:i/>
          <w:iCs/>
          <w:lang w:val="en-GB"/>
        </w:rPr>
        <w:t>Giurisprudenza costituzionale</w:t>
      </w:r>
      <w:r w:rsidRPr="00E8672C">
        <w:rPr>
          <w:lang w:val="en-GB"/>
        </w:rPr>
        <w:t>, vol. 6, 2001</w:t>
      </w:r>
    </w:p>
    <w:p w14:paraId="1B51A66A" w14:textId="77777777" w:rsidR="00401BAE" w:rsidRPr="0021055A" w:rsidRDefault="00401BAE" w:rsidP="00401BAE">
      <w:pPr>
        <w:jc w:val="both"/>
        <w:rPr>
          <w:lang w:val="en-GB"/>
        </w:rPr>
      </w:pPr>
    </w:p>
    <w:p w14:paraId="2669E483" w14:textId="77777777" w:rsidR="00401BAE" w:rsidRDefault="00401BAE" w:rsidP="00401BAE">
      <w:pPr>
        <w:numPr>
          <w:ilvl w:val="0"/>
          <w:numId w:val="3"/>
        </w:numPr>
        <w:jc w:val="both"/>
      </w:pPr>
      <w:r>
        <w:t>«</w:t>
      </w:r>
      <w:r w:rsidRPr="003050CB">
        <w:rPr>
          <w:iCs/>
        </w:rPr>
        <w:t>Alle origini del successo della Corte Suprema</w:t>
      </w:r>
      <w:r>
        <w:t>»</w:t>
      </w:r>
      <w:r>
        <w:rPr>
          <w:i/>
          <w:iCs/>
        </w:rPr>
        <w:t xml:space="preserve"> </w:t>
      </w:r>
      <w:r>
        <w:t>(</w:t>
      </w:r>
      <w:r w:rsidRPr="00233D67">
        <w:rPr>
          <w:iCs/>
          <w:sz w:val="20"/>
        </w:rPr>
        <w:t>At the Very Beginning of the Supreme Court Success</w:t>
      </w:r>
      <w:r>
        <w:t xml:space="preserve">), in </w:t>
      </w:r>
      <w:r w:rsidRPr="008D4245">
        <w:rPr>
          <w:i/>
          <w:iCs/>
        </w:rPr>
        <w:t>Giornale di Storia costituzionale</w:t>
      </w:r>
      <w:r>
        <w:t>, vol. 1, 2001</w:t>
      </w:r>
    </w:p>
    <w:p w14:paraId="47702B50" w14:textId="77777777" w:rsidR="00401BAE" w:rsidRDefault="00401BAE" w:rsidP="00401BAE">
      <w:pPr>
        <w:jc w:val="both"/>
      </w:pPr>
    </w:p>
    <w:p w14:paraId="353A7EF8" w14:textId="77777777" w:rsidR="00401BAE" w:rsidRDefault="00401BAE" w:rsidP="00401BAE">
      <w:pPr>
        <w:numPr>
          <w:ilvl w:val="0"/>
          <w:numId w:val="3"/>
        </w:numPr>
        <w:jc w:val="both"/>
      </w:pPr>
      <w:r>
        <w:t>«</w:t>
      </w:r>
      <w:r w:rsidRPr="00DB6A5E">
        <w:rPr>
          <w:iCs/>
        </w:rPr>
        <w:t>Il “diritto a morire” negli Stati Uniti secondo l’interpretazione costituzionale del XIV Emendamento</w:t>
      </w:r>
      <w:r>
        <w:t>»</w:t>
      </w:r>
      <w:r w:rsidRPr="00DB6A5E">
        <w:rPr>
          <w:i/>
          <w:iCs/>
        </w:rPr>
        <w:t xml:space="preserve"> </w:t>
      </w:r>
      <w:r>
        <w:t>(</w:t>
      </w:r>
      <w:r w:rsidRPr="00DB6A5E">
        <w:rPr>
          <w:iCs/>
          <w:sz w:val="20"/>
        </w:rPr>
        <w:t>The Constitutional Interpretation of the XIV Amendment on the “Right to Die”</w:t>
      </w:r>
      <w:r>
        <w:t xml:space="preserve">), in </w:t>
      </w:r>
      <w:r w:rsidRPr="008D4245">
        <w:rPr>
          <w:i/>
          <w:iCs/>
        </w:rPr>
        <w:t>Diritto pubblico</w:t>
      </w:r>
      <w:r>
        <w:t>, vol. 1, 2001</w:t>
      </w:r>
    </w:p>
    <w:p w14:paraId="2025C0F2" w14:textId="77777777" w:rsidR="00401BAE" w:rsidRDefault="00401BAE" w:rsidP="00401BAE">
      <w:pPr>
        <w:jc w:val="both"/>
      </w:pPr>
    </w:p>
    <w:p w14:paraId="6367B703" w14:textId="77777777" w:rsidR="00401BAE" w:rsidRDefault="00401BAE" w:rsidP="00401BAE">
      <w:pPr>
        <w:jc w:val="both"/>
      </w:pPr>
    </w:p>
    <w:p w14:paraId="1CE4E9A6" w14:textId="77777777" w:rsidR="00401BAE" w:rsidRDefault="00401BAE" w:rsidP="00401BAE">
      <w:pPr>
        <w:numPr>
          <w:ilvl w:val="0"/>
          <w:numId w:val="3"/>
        </w:numPr>
        <w:jc w:val="both"/>
      </w:pPr>
      <w:r>
        <w:t>«</w:t>
      </w:r>
      <w:r w:rsidRPr="003050CB">
        <w:rPr>
          <w:iCs/>
        </w:rPr>
        <w:t>Tipologie e limiti dell’immunità presidenziale nella pronuncia</w:t>
      </w:r>
      <w:r>
        <w:rPr>
          <w:i/>
          <w:iCs/>
        </w:rPr>
        <w:t xml:space="preserve"> </w:t>
      </w:r>
      <w:r w:rsidRPr="003050CB">
        <w:rPr>
          <w:i/>
        </w:rPr>
        <w:t>Clinton v. Jones</w:t>
      </w:r>
      <w:r>
        <w:t>»</w:t>
      </w:r>
      <w:r>
        <w:rPr>
          <w:i/>
          <w:iCs/>
        </w:rPr>
        <w:t xml:space="preserve"> </w:t>
      </w:r>
      <w:r>
        <w:t>(</w:t>
      </w:r>
      <w:r w:rsidRPr="00233D67">
        <w:rPr>
          <w:iCs/>
          <w:sz w:val="20"/>
        </w:rPr>
        <w:t xml:space="preserve">Typology and Limits to Presidential Immunity in </w:t>
      </w:r>
      <w:r w:rsidRPr="00233D67">
        <w:rPr>
          <w:i/>
          <w:sz w:val="20"/>
        </w:rPr>
        <w:t>Clinton v. Jones</w:t>
      </w:r>
      <w:r>
        <w:t xml:space="preserve">), in </w:t>
      </w:r>
      <w:r w:rsidRPr="008D4245">
        <w:rPr>
          <w:i/>
          <w:iCs/>
        </w:rPr>
        <w:t>Giurisprudenza costituzionale</w:t>
      </w:r>
      <w:r>
        <w:t>, vol. 4, 1998</w:t>
      </w:r>
    </w:p>
    <w:p w14:paraId="14E44CF0" w14:textId="77777777" w:rsidR="00401BAE" w:rsidRDefault="00401BAE" w:rsidP="00401BAE">
      <w:pPr>
        <w:jc w:val="both"/>
      </w:pPr>
    </w:p>
    <w:p w14:paraId="15685F8B" w14:textId="77777777" w:rsidR="00401BAE" w:rsidRDefault="00401BAE" w:rsidP="00401BAE">
      <w:pPr>
        <w:jc w:val="both"/>
      </w:pPr>
    </w:p>
    <w:p w14:paraId="60260E7E" w14:textId="77777777" w:rsidR="00401BAE" w:rsidRPr="0021055A" w:rsidRDefault="00401BAE" w:rsidP="00401BAE">
      <w:pPr>
        <w:rPr>
          <w:b/>
          <w:lang w:val="en-GB"/>
        </w:rPr>
      </w:pPr>
      <w:r w:rsidRPr="0021055A">
        <w:rPr>
          <w:b/>
          <w:lang w:val="en-GB"/>
        </w:rPr>
        <w:t>Peer-Reviewed Articles Published Abroad</w:t>
      </w:r>
    </w:p>
    <w:p w14:paraId="2F06DE0D" w14:textId="77777777" w:rsidR="00401BAE" w:rsidRPr="0021055A" w:rsidRDefault="00401BAE" w:rsidP="00401BAE">
      <w:pPr>
        <w:rPr>
          <w:b/>
          <w:lang w:val="en-GB"/>
        </w:rPr>
      </w:pPr>
    </w:p>
    <w:p w14:paraId="5E186C2E" w14:textId="2703CD33" w:rsidR="00573FC8" w:rsidRDefault="00573FC8" w:rsidP="00573FC8">
      <w:pPr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«</w:t>
      </w:r>
      <w:r w:rsidR="005B7F0F">
        <w:rPr>
          <w:lang w:val="en-GB"/>
        </w:rPr>
        <w:t>The Otherness in Comparative Constitutional Court. How</w:t>
      </w:r>
      <w:r>
        <w:rPr>
          <w:lang w:val="en-GB"/>
        </w:rPr>
        <w:t xml:space="preserve"> Comparative Constitutional Law </w:t>
      </w:r>
      <w:r w:rsidR="005B7F0F">
        <w:rPr>
          <w:lang w:val="en-GB"/>
        </w:rPr>
        <w:t xml:space="preserve">Comes to Be Seen </w:t>
      </w:r>
      <w:r>
        <w:rPr>
          <w:lang w:val="en-GB"/>
        </w:rPr>
        <w:t xml:space="preserve">When </w:t>
      </w:r>
      <w:r w:rsidR="005B7F0F">
        <w:rPr>
          <w:lang w:val="en-GB"/>
        </w:rPr>
        <w:t>It Is Taught in English as</w:t>
      </w:r>
      <w:r>
        <w:rPr>
          <w:lang w:val="en-GB"/>
        </w:rPr>
        <w:t xml:space="preserve"> the Medium of Instruction», in </w:t>
      </w:r>
      <w:r>
        <w:rPr>
          <w:i/>
          <w:lang w:val="en-GB"/>
        </w:rPr>
        <w:t>European Journal of Comparative Law and Governance</w:t>
      </w:r>
      <w:r w:rsidR="009A0961">
        <w:rPr>
          <w:lang w:val="en-GB"/>
        </w:rPr>
        <w:t>, 2017, vol. 2</w:t>
      </w:r>
    </w:p>
    <w:p w14:paraId="23A670F2" w14:textId="77777777" w:rsidR="00BF6146" w:rsidRDefault="00BF6146" w:rsidP="00BF6146">
      <w:pPr>
        <w:ind w:left="360"/>
        <w:jc w:val="both"/>
        <w:rPr>
          <w:lang w:val="en-GB"/>
        </w:rPr>
      </w:pPr>
    </w:p>
    <w:p w14:paraId="5867DD6D" w14:textId="3A013F14" w:rsidR="00BF6146" w:rsidRDefault="00BF6146" w:rsidP="00573FC8">
      <w:pPr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 xml:space="preserve">«Comparative Constitutional Law: A Continuation of Law with Other Means (A Few Incipient Thoughts)», in </w:t>
      </w:r>
      <w:r>
        <w:rPr>
          <w:i/>
          <w:lang w:val="en-GB"/>
        </w:rPr>
        <w:t>Law and Administration XXI Century</w:t>
      </w:r>
      <w:r>
        <w:rPr>
          <w:lang w:val="en-GB"/>
        </w:rPr>
        <w:t xml:space="preserve">, n. 4 (41) 2016 </w:t>
      </w:r>
    </w:p>
    <w:p w14:paraId="69FB1B37" w14:textId="77777777" w:rsidR="00573FC8" w:rsidRDefault="00573FC8" w:rsidP="00573FC8">
      <w:pPr>
        <w:ind w:left="360"/>
        <w:jc w:val="both"/>
        <w:rPr>
          <w:lang w:val="en-GB"/>
        </w:rPr>
      </w:pPr>
    </w:p>
    <w:p w14:paraId="3581703D" w14:textId="2B1873D6" w:rsidR="00401BAE" w:rsidRPr="00573FC8" w:rsidRDefault="00401BAE" w:rsidP="00573FC8">
      <w:pPr>
        <w:numPr>
          <w:ilvl w:val="0"/>
          <w:numId w:val="4"/>
        </w:numPr>
        <w:jc w:val="both"/>
        <w:rPr>
          <w:lang w:val="en-GB"/>
        </w:rPr>
      </w:pPr>
      <w:r w:rsidRPr="00573FC8">
        <w:rPr>
          <w:lang w:val="en-GB"/>
        </w:rPr>
        <w:t xml:space="preserve">«Preventing an Appeal to the Sword: The Role of the Judiciary in American Federalism and European Integration» (con Beatrice I. Bonafè), in </w:t>
      </w:r>
      <w:r w:rsidRPr="00573FC8">
        <w:rPr>
          <w:i/>
          <w:lang w:val="en-GB"/>
        </w:rPr>
        <w:t>International Journal of Public Administration</w:t>
      </w:r>
      <w:r w:rsidR="000A5F4F">
        <w:rPr>
          <w:lang w:val="en-GB"/>
        </w:rPr>
        <w:t>, 2011</w:t>
      </w:r>
    </w:p>
    <w:p w14:paraId="41BBB3FE" w14:textId="77777777" w:rsidR="00401BAE" w:rsidRDefault="00401BAE"/>
    <w:p w14:paraId="58F4FD53" w14:textId="77777777" w:rsidR="00401BAE" w:rsidRDefault="00401BAE"/>
    <w:p w14:paraId="49A74220" w14:textId="77777777" w:rsidR="00401BAE" w:rsidRPr="00194368" w:rsidRDefault="00401BAE" w:rsidP="00401BAE">
      <w:pPr>
        <w:jc w:val="both"/>
        <w:rPr>
          <w:b/>
        </w:rPr>
      </w:pPr>
      <w:r w:rsidRPr="00194368">
        <w:rPr>
          <w:b/>
        </w:rPr>
        <w:t>Coordination of National and International Projects</w:t>
      </w:r>
    </w:p>
    <w:p w14:paraId="30A0B1D3" w14:textId="77777777" w:rsidR="00401BAE" w:rsidRDefault="00401BAE" w:rsidP="00401BAE">
      <w:pPr>
        <w:jc w:val="both"/>
      </w:pPr>
    </w:p>
    <w:p w14:paraId="1FD2AA38" w14:textId="77777777" w:rsidR="00401BAE" w:rsidRDefault="00401BAE" w:rsidP="00401BAE">
      <w:pPr>
        <w:jc w:val="both"/>
        <w:rPr>
          <w:i/>
        </w:rPr>
      </w:pPr>
      <w:r>
        <w:t>Principal Investigator of the International Project: «</w:t>
      </w:r>
      <w:r>
        <w:rPr>
          <w:i/>
        </w:rPr>
        <w:t>Social Justice in the XXIst Century. Individual Participation and Public Responsibilities for a New Welfare State (Italy, the Netherlands, and the United Kingdom in Comparative Perspective).</w:t>
      </w:r>
    </w:p>
    <w:p w14:paraId="6FD8F384" w14:textId="77777777" w:rsidR="00401BAE" w:rsidRDefault="00401BAE"/>
    <w:p w14:paraId="771FC18B" w14:textId="77777777" w:rsidR="00F524EE" w:rsidRDefault="00F524EE"/>
    <w:p w14:paraId="1850E377" w14:textId="77777777" w:rsidR="00F524EE" w:rsidRDefault="00F524EE"/>
    <w:p w14:paraId="4571AA31" w14:textId="77777777" w:rsidR="00BA5EC4" w:rsidRDefault="00BA5EC4"/>
    <w:p w14:paraId="71031299" w14:textId="77777777" w:rsidR="00401BAE" w:rsidRDefault="00401BAE"/>
    <w:p w14:paraId="1DED7D55" w14:textId="77777777" w:rsidR="00401BAE" w:rsidRPr="00194368" w:rsidRDefault="00401BAE" w:rsidP="00401BAE">
      <w:pPr>
        <w:jc w:val="both"/>
        <w:rPr>
          <w:b/>
          <w:lang w:val="en-GB"/>
        </w:rPr>
      </w:pPr>
      <w:r w:rsidRPr="00194368">
        <w:rPr>
          <w:b/>
          <w:lang w:val="en-GB"/>
        </w:rPr>
        <w:t>International Conference Presentations</w:t>
      </w:r>
    </w:p>
    <w:p w14:paraId="3AEDE232" w14:textId="77777777" w:rsidR="00401BAE" w:rsidRPr="006C24FA" w:rsidRDefault="00401BAE" w:rsidP="00401BAE">
      <w:pPr>
        <w:ind w:left="720"/>
        <w:jc w:val="both"/>
        <w:rPr>
          <w:b/>
          <w:i/>
          <w:lang w:val="en-GB"/>
        </w:rPr>
      </w:pPr>
    </w:p>
    <w:p w14:paraId="530B7A78" w14:textId="77777777" w:rsidR="00401BAE" w:rsidRDefault="00401BAE" w:rsidP="00401BAE">
      <w:pPr>
        <w:ind w:left="2160" w:hanging="2160"/>
        <w:jc w:val="both"/>
        <w:rPr>
          <w:lang w:val="en-GB"/>
        </w:rPr>
      </w:pPr>
    </w:p>
    <w:p w14:paraId="39C5F693" w14:textId="65B97E0D" w:rsidR="00560399" w:rsidRDefault="00F90233" w:rsidP="00B909F5">
      <w:pPr>
        <w:ind w:left="2120" w:hanging="2120"/>
        <w:jc w:val="both"/>
        <w:rPr>
          <w:lang w:val="en-GB"/>
        </w:rPr>
      </w:pPr>
      <w:r>
        <w:rPr>
          <w:lang w:val="en-GB"/>
        </w:rPr>
        <w:t>2017</w:t>
      </w:r>
      <w:r>
        <w:rPr>
          <w:lang w:val="en-GB"/>
        </w:rPr>
        <w:tab/>
      </w:r>
      <w:r>
        <w:rPr>
          <w:lang w:val="en-GB"/>
        </w:rPr>
        <w:tab/>
      </w:r>
      <w:r w:rsidR="009E52EA">
        <w:rPr>
          <w:lang w:val="en-GB"/>
        </w:rPr>
        <w:t xml:space="preserve">Paper on «Courts like Ancient Parliaments. Crisis of Political Representation, Globalised World and the Judiciary» at the </w:t>
      </w:r>
      <w:r w:rsidR="00560399">
        <w:rPr>
          <w:lang w:val="en-GB"/>
        </w:rPr>
        <w:t>Congreso Internaciónal de Teoría Constitucional</w:t>
      </w:r>
      <w:r w:rsidR="00294811">
        <w:rPr>
          <w:lang w:val="en-GB"/>
        </w:rPr>
        <w:t>,</w:t>
      </w:r>
      <w:r w:rsidR="00766652">
        <w:rPr>
          <w:lang w:val="en-GB"/>
        </w:rPr>
        <w:t xml:space="preserve"> </w:t>
      </w:r>
      <w:r w:rsidR="00560399">
        <w:rPr>
          <w:lang w:val="en-GB"/>
        </w:rPr>
        <w:t xml:space="preserve">Democratic Decision Making and </w:t>
      </w:r>
      <w:r w:rsidR="00766652">
        <w:rPr>
          <w:lang w:val="en-GB"/>
        </w:rPr>
        <w:t>Constitutional Form</w:t>
      </w:r>
      <w:r w:rsidR="00560399">
        <w:rPr>
          <w:lang w:val="en-GB"/>
        </w:rPr>
        <w:t>, Universidad Católica de Cordóba, Argentina, September 2017</w:t>
      </w:r>
    </w:p>
    <w:p w14:paraId="7E028FB1" w14:textId="77777777" w:rsidR="00560399" w:rsidRDefault="00560399" w:rsidP="00560399">
      <w:pPr>
        <w:rPr>
          <w:lang w:val="en-GB"/>
        </w:rPr>
      </w:pPr>
    </w:p>
    <w:p w14:paraId="72330A58" w14:textId="797BF897" w:rsidR="00F524EE" w:rsidRDefault="00560399" w:rsidP="00882D07">
      <w:pPr>
        <w:ind w:left="2120" w:hanging="2120"/>
        <w:jc w:val="both"/>
        <w:rPr>
          <w:lang w:val="en-GB"/>
        </w:rPr>
      </w:pPr>
      <w:r>
        <w:rPr>
          <w:lang w:val="en-GB"/>
        </w:rPr>
        <w:t>2017</w:t>
      </w:r>
      <w:r>
        <w:rPr>
          <w:lang w:val="en-GB"/>
        </w:rPr>
        <w:tab/>
      </w:r>
      <w:r>
        <w:rPr>
          <w:lang w:val="en-GB"/>
        </w:rPr>
        <w:tab/>
      </w:r>
      <w:r w:rsidR="00F90233">
        <w:rPr>
          <w:lang w:val="en-GB"/>
        </w:rPr>
        <w:t>Paper on «</w:t>
      </w:r>
      <w:r w:rsidR="00F90233" w:rsidRPr="00F90233">
        <w:rPr>
          <w:bCs/>
          <w:iCs/>
          <w:color w:val="222222"/>
          <w:lang w:val="en-US"/>
        </w:rPr>
        <w:t>The 'Unpopular' European Court of Human Rights: A Report from the Unyielding Political Power in Europe</w:t>
      </w:r>
      <w:r w:rsidR="00F524EE">
        <w:rPr>
          <w:lang w:val="en-GB"/>
        </w:rPr>
        <w:t>» at the ICON-Society Conference, Copenaghen, July 2017</w:t>
      </w:r>
    </w:p>
    <w:p w14:paraId="33B63DB9" w14:textId="77777777" w:rsidR="00766652" w:rsidRDefault="00766652" w:rsidP="00882D07">
      <w:pPr>
        <w:ind w:left="2120" w:hanging="2120"/>
        <w:jc w:val="both"/>
        <w:rPr>
          <w:lang w:val="en-GB"/>
        </w:rPr>
      </w:pPr>
    </w:p>
    <w:p w14:paraId="716AB7B3" w14:textId="0B67A568" w:rsidR="00766652" w:rsidRPr="00F90233" w:rsidRDefault="00766652" w:rsidP="00882D07">
      <w:pPr>
        <w:ind w:left="2120" w:hanging="2120"/>
        <w:jc w:val="both"/>
        <w:rPr>
          <w:rFonts w:ascii="Times" w:hAnsi="Times"/>
          <w:sz w:val="20"/>
          <w:szCs w:val="20"/>
          <w:lang w:val="en-US"/>
        </w:rPr>
      </w:pPr>
      <w:r>
        <w:rPr>
          <w:lang w:val="en-GB"/>
        </w:rPr>
        <w:t xml:space="preserve">2017 </w:t>
      </w:r>
      <w:r>
        <w:rPr>
          <w:lang w:val="en-GB"/>
        </w:rPr>
        <w:tab/>
        <w:t>Paper on «Courts like Ancient Parliaments. Between Individual Petitions and Common Grievances», at the XXIV Bi-annual Colloquium of the Italian Association of Comparative Law (AIDC), Ius Dicere in a Globalized World, Naples, June 2017</w:t>
      </w:r>
    </w:p>
    <w:p w14:paraId="2B20C210" w14:textId="77777777" w:rsidR="00F524EE" w:rsidRDefault="00F524EE" w:rsidP="006A13AA">
      <w:pPr>
        <w:ind w:left="2160" w:hanging="2160"/>
        <w:jc w:val="both"/>
        <w:rPr>
          <w:lang w:val="en-GB"/>
        </w:rPr>
      </w:pPr>
    </w:p>
    <w:p w14:paraId="357A7853" w14:textId="2AF858D9" w:rsidR="00DC5EB4" w:rsidRDefault="00DC5EB4" w:rsidP="006A13AA">
      <w:pPr>
        <w:ind w:left="2160" w:hanging="2160"/>
        <w:jc w:val="both"/>
        <w:rPr>
          <w:lang w:val="en-GB"/>
        </w:rPr>
      </w:pPr>
      <w:r>
        <w:rPr>
          <w:lang w:val="en-GB"/>
        </w:rPr>
        <w:t>2016</w:t>
      </w:r>
      <w:r>
        <w:rPr>
          <w:lang w:val="en-GB"/>
        </w:rPr>
        <w:tab/>
        <w:t>Paper on «The Otherness in Comparative Constitutional Law» at the ICON-Society Conference, Berlin, June 2016</w:t>
      </w:r>
    </w:p>
    <w:p w14:paraId="39A1C3BB" w14:textId="77777777" w:rsidR="00CB6888" w:rsidRDefault="00CB6888" w:rsidP="006A13AA">
      <w:pPr>
        <w:ind w:left="2160" w:hanging="2160"/>
        <w:jc w:val="both"/>
        <w:rPr>
          <w:lang w:val="en-GB"/>
        </w:rPr>
      </w:pPr>
    </w:p>
    <w:p w14:paraId="0DDEAA6A" w14:textId="1A3D6B5C" w:rsidR="00CB6888" w:rsidRDefault="00CB6888" w:rsidP="006A13AA">
      <w:pPr>
        <w:ind w:left="2160" w:hanging="2160"/>
        <w:jc w:val="both"/>
        <w:rPr>
          <w:lang w:val="en-GB"/>
        </w:rPr>
      </w:pPr>
      <w:r>
        <w:rPr>
          <w:lang w:val="en-GB"/>
        </w:rPr>
        <w:t>2016</w:t>
      </w:r>
      <w:r>
        <w:rPr>
          <w:lang w:val="en-GB"/>
        </w:rPr>
        <w:tab/>
        <w:t xml:space="preserve">Paper on «Individual Choice and Public Responsibility in Biomedical Ethics» at the International Conference </w:t>
      </w:r>
      <w:r w:rsidR="00295AE4">
        <w:rPr>
          <w:lang w:val="en-GB"/>
        </w:rPr>
        <w:t xml:space="preserve">(financed by the ChETCH 7FP- People-Marie Curie-IRSES project) </w:t>
      </w:r>
      <w:r>
        <w:rPr>
          <w:lang w:val="en-GB"/>
        </w:rPr>
        <w:t>«Biomedical Ethics, Public Policy and Individual Choice. Comparing Europe and China», University of Macerata, May 2016</w:t>
      </w:r>
    </w:p>
    <w:p w14:paraId="3666CBD0" w14:textId="77777777" w:rsidR="00DC5EB4" w:rsidRDefault="00DC5EB4" w:rsidP="006A13AA">
      <w:pPr>
        <w:ind w:left="2160" w:hanging="2160"/>
        <w:jc w:val="both"/>
        <w:rPr>
          <w:lang w:val="en-GB"/>
        </w:rPr>
      </w:pPr>
    </w:p>
    <w:p w14:paraId="6413C1D4" w14:textId="1825A18D" w:rsidR="00766652" w:rsidRDefault="00D801B5" w:rsidP="006A13AA">
      <w:pPr>
        <w:ind w:left="2160" w:hanging="2160"/>
        <w:jc w:val="both"/>
        <w:rPr>
          <w:lang w:val="en-GB"/>
        </w:rPr>
      </w:pPr>
      <w:r>
        <w:rPr>
          <w:lang w:val="en-GB"/>
        </w:rPr>
        <w:t>2015</w:t>
      </w:r>
      <w:r>
        <w:rPr>
          <w:lang w:val="en-GB"/>
        </w:rPr>
        <w:tab/>
      </w:r>
      <w:r w:rsidR="00766652">
        <w:rPr>
          <w:lang w:val="en-GB"/>
        </w:rPr>
        <w:t xml:space="preserve">Paper on «How to Teach Comparative Constitutional Law When English Is the Medium of Instruction (EMI)», at the XXIII Bi-annual Colloquium of the Italian Association of Comparative Law (AIDC), </w:t>
      </w:r>
      <w:r w:rsidR="00294811">
        <w:rPr>
          <w:lang w:val="en-GB"/>
        </w:rPr>
        <w:t xml:space="preserve">Teaching Comparative Law, </w:t>
      </w:r>
      <w:r w:rsidR="00766652">
        <w:rPr>
          <w:lang w:val="en-GB"/>
        </w:rPr>
        <w:t>Palermo, June 2015</w:t>
      </w:r>
    </w:p>
    <w:p w14:paraId="54FB236F" w14:textId="77777777" w:rsidR="00766652" w:rsidRDefault="00766652" w:rsidP="00766652">
      <w:pPr>
        <w:jc w:val="both"/>
        <w:rPr>
          <w:lang w:val="en-GB"/>
        </w:rPr>
      </w:pPr>
    </w:p>
    <w:p w14:paraId="3630B08C" w14:textId="418B3E2E" w:rsidR="00D801B5" w:rsidRDefault="00766652" w:rsidP="006A13AA">
      <w:pPr>
        <w:ind w:left="2160" w:hanging="2160"/>
        <w:jc w:val="both"/>
        <w:rPr>
          <w:lang w:val="en-GB"/>
        </w:rPr>
      </w:pPr>
      <w:r>
        <w:rPr>
          <w:lang w:val="en-GB"/>
        </w:rPr>
        <w:t>2015</w:t>
      </w:r>
      <w:r>
        <w:rPr>
          <w:lang w:val="en-GB"/>
        </w:rPr>
        <w:tab/>
      </w:r>
      <w:r w:rsidR="00D801B5">
        <w:rPr>
          <w:lang w:val="en-GB"/>
        </w:rPr>
        <w:t xml:space="preserve">Paper on «Comparative Constitutional Law in an Uncertain World» at the ICON-Society Conference, New York University School of Law, New York, July 2015 </w:t>
      </w:r>
    </w:p>
    <w:p w14:paraId="04F1C18F" w14:textId="77777777" w:rsidR="00D801B5" w:rsidRDefault="00D801B5" w:rsidP="00401BAE">
      <w:pPr>
        <w:ind w:left="2160" w:hanging="2160"/>
        <w:jc w:val="both"/>
        <w:rPr>
          <w:lang w:val="en-GB"/>
        </w:rPr>
      </w:pPr>
    </w:p>
    <w:p w14:paraId="7A66336B" w14:textId="77777777" w:rsidR="00401BAE" w:rsidRPr="00AD1600" w:rsidRDefault="00401BAE" w:rsidP="00401BAE">
      <w:pPr>
        <w:ind w:left="2160" w:hanging="2160"/>
        <w:jc w:val="both"/>
        <w:rPr>
          <w:i/>
          <w:lang w:val="en-GB"/>
        </w:rPr>
      </w:pPr>
      <w:r>
        <w:rPr>
          <w:lang w:val="en-GB"/>
        </w:rPr>
        <w:t xml:space="preserve">2014  </w:t>
      </w:r>
      <w:r>
        <w:rPr>
          <w:lang w:val="en-GB"/>
        </w:rPr>
        <w:tab/>
        <w:t>Paper on «</w:t>
      </w:r>
      <w:r w:rsidRPr="000E4F2A">
        <w:rPr>
          <w:i/>
          <w:lang w:val="en-GB"/>
        </w:rPr>
        <w:t xml:space="preserve">The ECHR Article 8: Cordon Sanitaire or Isolation Tank? Homosexuality, Transsexualism, and Sado-Masochism in the ECtHR </w:t>
      </w:r>
      <w:r>
        <w:rPr>
          <w:i/>
          <w:lang w:val="en-GB"/>
        </w:rPr>
        <w:t>Case-</w:t>
      </w:r>
      <w:r w:rsidRPr="000E4F2A">
        <w:rPr>
          <w:i/>
          <w:lang w:val="en-GB"/>
        </w:rPr>
        <w:t>law</w:t>
      </w:r>
      <w:r>
        <w:rPr>
          <w:lang w:val="en-GB"/>
        </w:rPr>
        <w:t>» at the Conference of the International Association of Constitutional Lawyers, Oslo, June 2014</w:t>
      </w:r>
    </w:p>
    <w:p w14:paraId="3DCF8A4E" w14:textId="77777777" w:rsidR="00401BAE" w:rsidRDefault="00401BAE"/>
    <w:p w14:paraId="5DF9A4AE" w14:textId="77777777" w:rsidR="00401BAE" w:rsidRDefault="00401BAE" w:rsidP="00401BAE">
      <w:pPr>
        <w:ind w:left="2160" w:hanging="2160"/>
        <w:jc w:val="both"/>
        <w:rPr>
          <w:lang w:val="en-GB"/>
        </w:rPr>
      </w:pPr>
      <w:r>
        <w:rPr>
          <w:lang w:val="en-GB"/>
        </w:rPr>
        <w:t>2010</w:t>
      </w:r>
      <w:r>
        <w:rPr>
          <w:lang w:val="en-GB"/>
        </w:rPr>
        <w:tab/>
        <w:t>Paper on «</w:t>
      </w:r>
      <w:r>
        <w:rPr>
          <w:i/>
          <w:lang w:val="en-GB"/>
        </w:rPr>
        <w:t>Choosing One’s Own Death: Culture-Based Right or Universal Right? Osmosis and Dialogue Among Courts in Matter of Privacy, Personal Autonomy, and the Right to Die</w:t>
      </w:r>
      <w:r>
        <w:rPr>
          <w:lang w:val="en-GB"/>
        </w:rPr>
        <w:t>» at the Conference of the International Association of Constitutional Lawyers, Mexico City, December 2010</w:t>
      </w:r>
    </w:p>
    <w:p w14:paraId="4D2F98F4" w14:textId="77777777" w:rsidR="00401BAE" w:rsidRDefault="00401BAE" w:rsidP="00401BAE">
      <w:pPr>
        <w:ind w:left="2160" w:hanging="2160"/>
        <w:jc w:val="both"/>
        <w:rPr>
          <w:lang w:val="en-GB"/>
        </w:rPr>
      </w:pPr>
    </w:p>
    <w:p w14:paraId="360B9824" w14:textId="77777777" w:rsidR="00401BAE" w:rsidRDefault="00401BAE"/>
    <w:p w14:paraId="349AFD75" w14:textId="77777777" w:rsidR="00BA5EC4" w:rsidRDefault="00BA5EC4"/>
    <w:p w14:paraId="38FA3B4F" w14:textId="77777777" w:rsidR="00BA5EC4" w:rsidRDefault="00BA5EC4"/>
    <w:p w14:paraId="72C21C50" w14:textId="77777777" w:rsidR="00BA5EC4" w:rsidRDefault="00BA5EC4">
      <w:bookmarkStart w:id="0" w:name="_GoBack"/>
      <w:bookmarkEnd w:id="0"/>
    </w:p>
    <w:p w14:paraId="4F3EB00B" w14:textId="77777777" w:rsidR="00D801B5" w:rsidRDefault="00D801B5"/>
    <w:p w14:paraId="75D86C33" w14:textId="77777777" w:rsidR="00401BAE" w:rsidRPr="00194368" w:rsidRDefault="00401BAE" w:rsidP="00401BAE">
      <w:pPr>
        <w:jc w:val="both"/>
        <w:rPr>
          <w:b/>
          <w:lang w:val="en-GB"/>
        </w:rPr>
      </w:pPr>
      <w:r w:rsidRPr="00194368">
        <w:rPr>
          <w:b/>
          <w:lang w:val="en-GB"/>
        </w:rPr>
        <w:t>Grants and Awards</w:t>
      </w:r>
    </w:p>
    <w:p w14:paraId="0ABBD98A" w14:textId="77777777" w:rsidR="00401BAE" w:rsidRDefault="00401BAE" w:rsidP="00401BAE">
      <w:pPr>
        <w:jc w:val="both"/>
        <w:rPr>
          <w:b/>
          <w:i/>
          <w:lang w:val="en-GB"/>
        </w:rPr>
      </w:pPr>
    </w:p>
    <w:p w14:paraId="63954418" w14:textId="77777777" w:rsidR="00401BAE" w:rsidRPr="00874E83" w:rsidRDefault="00401BAE" w:rsidP="00401BAE">
      <w:pPr>
        <w:ind w:left="2160" w:hanging="2160"/>
        <w:jc w:val="both"/>
        <w:rPr>
          <w:lang w:val="en-GB"/>
        </w:rPr>
      </w:pPr>
      <w:r>
        <w:rPr>
          <w:lang w:val="en-GB"/>
        </w:rPr>
        <w:t xml:space="preserve">2001 </w:t>
      </w:r>
      <w:r>
        <w:rPr>
          <w:lang w:val="en-GB"/>
        </w:rPr>
        <w:tab/>
        <w:t>Recipient, CNR (National Research Council, Italy) Scholarship for Young Researchers for the project «</w:t>
      </w:r>
      <w:r>
        <w:rPr>
          <w:i/>
          <w:iCs/>
          <w:lang w:val="en-GB"/>
        </w:rPr>
        <w:t xml:space="preserve">The EU Protection of Human Rights in Its External Relationships: the </w:t>
      </w:r>
      <w:r>
        <w:rPr>
          <w:lang w:val="en-GB"/>
        </w:rPr>
        <w:t>Human Rights Clause</w:t>
      </w:r>
      <w:r>
        <w:rPr>
          <w:i/>
          <w:iCs/>
          <w:lang w:val="en-GB"/>
        </w:rPr>
        <w:t xml:space="preserve"> and Conditionality in Cooperation and Developing Agreements</w:t>
      </w:r>
      <w:r>
        <w:rPr>
          <w:lang w:val="en-GB"/>
        </w:rPr>
        <w:t>»</w:t>
      </w:r>
    </w:p>
    <w:p w14:paraId="03340DAE" w14:textId="77777777" w:rsidR="00401BAE" w:rsidRDefault="00401BAE"/>
    <w:p w14:paraId="48A73329" w14:textId="77777777" w:rsidR="003422D4" w:rsidRDefault="003422D4"/>
    <w:p w14:paraId="7EFD9137" w14:textId="77777777" w:rsidR="00401BAE" w:rsidRPr="00194368" w:rsidRDefault="00401BAE" w:rsidP="00401BAE">
      <w:pPr>
        <w:jc w:val="both"/>
        <w:rPr>
          <w:b/>
          <w:lang w:val="en-GB"/>
        </w:rPr>
      </w:pPr>
      <w:r w:rsidRPr="00194368">
        <w:rPr>
          <w:b/>
          <w:lang w:val="en-GB"/>
        </w:rPr>
        <w:t>Memberships</w:t>
      </w:r>
    </w:p>
    <w:p w14:paraId="60B8F659" w14:textId="77777777" w:rsidR="00401BAE" w:rsidRDefault="00401BAE" w:rsidP="00401BAE">
      <w:pPr>
        <w:jc w:val="both"/>
        <w:rPr>
          <w:lang w:val="en-GB"/>
        </w:rPr>
      </w:pPr>
    </w:p>
    <w:p w14:paraId="32CF9F8E" w14:textId="77777777" w:rsidR="00401BAE" w:rsidRDefault="00401BAE" w:rsidP="00401BAE">
      <w:pPr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Member of the A.S.T.R.I.D. Foundation (Italy)</w:t>
      </w:r>
    </w:p>
    <w:p w14:paraId="6228E1A7" w14:textId="77777777" w:rsidR="00401BAE" w:rsidRDefault="00401BAE" w:rsidP="00401BAE">
      <w:pPr>
        <w:jc w:val="both"/>
        <w:rPr>
          <w:lang w:val="en-GB"/>
        </w:rPr>
      </w:pPr>
    </w:p>
    <w:p w14:paraId="3206ABEA" w14:textId="77777777" w:rsidR="003422D4" w:rsidRDefault="003422D4" w:rsidP="003422D4">
      <w:pPr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Member of the British Institute of International and Comparative Law (BIICL) </w:t>
      </w:r>
    </w:p>
    <w:p w14:paraId="44FDF77D" w14:textId="77777777" w:rsidR="003422D4" w:rsidRDefault="003422D4" w:rsidP="003422D4">
      <w:pPr>
        <w:jc w:val="both"/>
        <w:rPr>
          <w:lang w:val="en-GB"/>
        </w:rPr>
      </w:pPr>
    </w:p>
    <w:p w14:paraId="5E5FDA69" w14:textId="77777777" w:rsidR="003422D4" w:rsidRDefault="003422D4" w:rsidP="003422D4">
      <w:pPr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Member of the International Association of Constitutional Law (IACL)</w:t>
      </w:r>
    </w:p>
    <w:p w14:paraId="1E4ADBD8" w14:textId="77777777" w:rsidR="003422D4" w:rsidRDefault="003422D4" w:rsidP="003422D4">
      <w:pPr>
        <w:jc w:val="both"/>
        <w:rPr>
          <w:lang w:val="en-GB"/>
        </w:rPr>
      </w:pPr>
    </w:p>
    <w:p w14:paraId="5565A00E" w14:textId="77777777" w:rsidR="00401BAE" w:rsidRDefault="00401BAE" w:rsidP="00401BAE">
      <w:pPr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Member of the International Society of Public Law (I-CON)</w:t>
      </w:r>
    </w:p>
    <w:p w14:paraId="36BA1181" w14:textId="77777777" w:rsidR="00194368" w:rsidRDefault="00194368" w:rsidP="00194368">
      <w:pPr>
        <w:jc w:val="both"/>
        <w:rPr>
          <w:lang w:val="en-GB"/>
        </w:rPr>
      </w:pPr>
    </w:p>
    <w:p w14:paraId="1B3E423B" w14:textId="77777777" w:rsidR="00194368" w:rsidRDefault="00194368" w:rsidP="00401BAE">
      <w:pPr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Member of the Italian Association of Comparative Law (AIDC)</w:t>
      </w:r>
    </w:p>
    <w:p w14:paraId="1B13260B" w14:textId="77777777" w:rsidR="003422D4" w:rsidRDefault="003422D4"/>
    <w:p w14:paraId="0B7D1DCD" w14:textId="77777777" w:rsidR="00CA07D8" w:rsidRDefault="00CA07D8"/>
    <w:p w14:paraId="59ECFC84" w14:textId="63CD0D9F" w:rsidR="00CA07D8" w:rsidRDefault="00CA07D8">
      <w:pPr>
        <w:rPr>
          <w:b/>
        </w:rPr>
      </w:pPr>
      <w:r>
        <w:rPr>
          <w:b/>
        </w:rPr>
        <w:t>Languages</w:t>
      </w:r>
    </w:p>
    <w:p w14:paraId="73A032E2" w14:textId="77777777" w:rsidR="00CA07D8" w:rsidRDefault="00CA07D8">
      <w:pPr>
        <w:rPr>
          <w:b/>
        </w:rPr>
      </w:pPr>
    </w:p>
    <w:p w14:paraId="4C9080FA" w14:textId="5EB0C618" w:rsidR="00CA07D8" w:rsidRPr="00CA07D8" w:rsidRDefault="00CA07D8">
      <w:r>
        <w:t>Italian (native), English, French, German, Spanish</w:t>
      </w:r>
    </w:p>
    <w:sectPr w:rsidR="00CA07D8" w:rsidRPr="00CA07D8" w:rsidSect="00553860">
      <w:headerReference w:type="default" r:id="rId9"/>
      <w:footerReference w:type="even" r:id="rId10"/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51D5D" w14:textId="77777777" w:rsidR="00886B99" w:rsidRDefault="00886B99" w:rsidP="00401BAE">
      <w:r>
        <w:separator/>
      </w:r>
    </w:p>
  </w:endnote>
  <w:endnote w:type="continuationSeparator" w:id="0">
    <w:p w14:paraId="48F08DBA" w14:textId="77777777" w:rsidR="00886B99" w:rsidRDefault="00886B99" w:rsidP="0040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B588D" w14:textId="77777777" w:rsidR="00886B99" w:rsidRDefault="00886B99" w:rsidP="006A13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B0C4C1" w14:textId="77777777" w:rsidR="00886B99" w:rsidRDefault="00886B99" w:rsidP="00401BA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A9402" w14:textId="77777777" w:rsidR="00886B99" w:rsidRDefault="00886B99" w:rsidP="006A13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A5EC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A7CDD9B" w14:textId="77777777" w:rsidR="00886B99" w:rsidRDefault="00886B99" w:rsidP="00401BA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48F31" w14:textId="77777777" w:rsidR="00886B99" w:rsidRDefault="00886B99" w:rsidP="00401BAE">
      <w:r>
        <w:separator/>
      </w:r>
    </w:p>
  </w:footnote>
  <w:footnote w:type="continuationSeparator" w:id="0">
    <w:p w14:paraId="1C610850" w14:textId="77777777" w:rsidR="00886B99" w:rsidRDefault="00886B99" w:rsidP="00401B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21B92" w14:textId="77777777" w:rsidR="00886B99" w:rsidRDefault="00886B99" w:rsidP="00401BAE">
    <w:pPr>
      <w:pStyle w:val="Intestazione"/>
      <w:jc w:val="center"/>
    </w:pPr>
    <w:r>
      <w:t xml:space="preserve">Benedetta Barbisan – Dipartimento di Scienze politiche, </w:t>
    </w:r>
  </w:p>
  <w:p w14:paraId="2FE8677D" w14:textId="77777777" w:rsidR="00886B99" w:rsidRDefault="00886B99" w:rsidP="00401BAE">
    <w:pPr>
      <w:pStyle w:val="Intestazione"/>
      <w:jc w:val="center"/>
    </w:pPr>
    <w:r>
      <w:t>della Comunicazione e delle Relazioni Internazionali – Università degli Studi di Macerata</w:t>
    </w:r>
  </w:p>
  <w:p w14:paraId="01D6E9C6" w14:textId="77777777" w:rsidR="00886B99" w:rsidRDefault="00886B99" w:rsidP="00401BAE">
    <w:pPr>
      <w:pStyle w:val="Intestazione"/>
      <w:jc w:val="center"/>
    </w:pPr>
    <w:r>
      <w:t>P.zza Strambi, 1 – 62100 Macerata I</w:t>
    </w:r>
  </w:p>
  <w:p w14:paraId="2CD30FB9" w14:textId="77777777" w:rsidR="00886B99" w:rsidRPr="00EA6083" w:rsidRDefault="00886B99" w:rsidP="00401BAE">
    <w:pPr>
      <w:pStyle w:val="Intestazione"/>
      <w:jc w:val="center"/>
      <w:rPr>
        <w:b/>
      </w:rPr>
    </w:pPr>
    <w:r w:rsidRPr="00EA6083">
      <w:rPr>
        <w:b/>
      </w:rPr>
      <w:t>Curriculum Vitae</w:t>
    </w:r>
  </w:p>
  <w:p w14:paraId="380EE7EE" w14:textId="77777777" w:rsidR="00886B99" w:rsidRDefault="00886B99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1039"/>
    <w:multiLevelType w:val="hybridMultilevel"/>
    <w:tmpl w:val="DF0461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114608"/>
    <w:multiLevelType w:val="hybridMultilevel"/>
    <w:tmpl w:val="0F7418E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7CD7B6E"/>
    <w:multiLevelType w:val="multilevel"/>
    <w:tmpl w:val="DB32C2F6"/>
    <w:lvl w:ilvl="0">
      <w:start w:val="2000"/>
      <w:numFmt w:val="decimal"/>
      <w:lvlText w:val="%1"/>
      <w:lvlJc w:val="left"/>
      <w:pPr>
        <w:tabs>
          <w:tab w:val="num" w:pos="1044"/>
        </w:tabs>
        <w:ind w:left="1044" w:hanging="1044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044"/>
        </w:tabs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4"/>
        </w:tabs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4"/>
        </w:tabs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B184099"/>
    <w:multiLevelType w:val="hybridMultilevel"/>
    <w:tmpl w:val="DF1AAC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8478A2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CA147B"/>
    <w:multiLevelType w:val="hybridMultilevel"/>
    <w:tmpl w:val="6824A298"/>
    <w:lvl w:ilvl="0" w:tplc="1BA25B50">
      <w:start w:val="200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AE"/>
    <w:rsid w:val="0000295E"/>
    <w:rsid w:val="0006673C"/>
    <w:rsid w:val="000A5F4F"/>
    <w:rsid w:val="00127B35"/>
    <w:rsid w:val="001432F7"/>
    <w:rsid w:val="00194368"/>
    <w:rsid w:val="001D4C81"/>
    <w:rsid w:val="0024617F"/>
    <w:rsid w:val="00294811"/>
    <w:rsid w:val="00295AE4"/>
    <w:rsid w:val="002B3871"/>
    <w:rsid w:val="003422D4"/>
    <w:rsid w:val="00401BAE"/>
    <w:rsid w:val="004303B6"/>
    <w:rsid w:val="00441923"/>
    <w:rsid w:val="0044284A"/>
    <w:rsid w:val="004561BE"/>
    <w:rsid w:val="00543297"/>
    <w:rsid w:val="00553860"/>
    <w:rsid w:val="00560399"/>
    <w:rsid w:val="00573FC8"/>
    <w:rsid w:val="005B7F0F"/>
    <w:rsid w:val="006A13AA"/>
    <w:rsid w:val="00764505"/>
    <w:rsid w:val="00766652"/>
    <w:rsid w:val="00792126"/>
    <w:rsid w:val="00833F4F"/>
    <w:rsid w:val="00882D07"/>
    <w:rsid w:val="00886B99"/>
    <w:rsid w:val="008D4245"/>
    <w:rsid w:val="009A0961"/>
    <w:rsid w:val="009C200E"/>
    <w:rsid w:val="009E52EA"/>
    <w:rsid w:val="00A92DB2"/>
    <w:rsid w:val="00AA5ACB"/>
    <w:rsid w:val="00AD4F0B"/>
    <w:rsid w:val="00AE1542"/>
    <w:rsid w:val="00B73CA3"/>
    <w:rsid w:val="00B909F5"/>
    <w:rsid w:val="00BA5EC4"/>
    <w:rsid w:val="00BF6146"/>
    <w:rsid w:val="00C16DF2"/>
    <w:rsid w:val="00CA07D8"/>
    <w:rsid w:val="00CB6888"/>
    <w:rsid w:val="00CD138D"/>
    <w:rsid w:val="00D01EE5"/>
    <w:rsid w:val="00D801B5"/>
    <w:rsid w:val="00DC5EB4"/>
    <w:rsid w:val="00DE466A"/>
    <w:rsid w:val="00E25713"/>
    <w:rsid w:val="00ED36AF"/>
    <w:rsid w:val="00ED708E"/>
    <w:rsid w:val="00EF2E26"/>
    <w:rsid w:val="00F07F00"/>
    <w:rsid w:val="00F524EE"/>
    <w:rsid w:val="00F90233"/>
    <w:rsid w:val="00F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9E9B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BAE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401BAE"/>
    <w:pPr>
      <w:keepNext/>
      <w:spacing w:line="360" w:lineRule="auto"/>
      <w:ind w:left="360"/>
      <w:jc w:val="both"/>
      <w:outlineLvl w:val="0"/>
    </w:pPr>
    <w:rPr>
      <w:b/>
      <w:bCs/>
      <w:i/>
      <w:iCs/>
      <w:lang w:val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1B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401BAE"/>
    <w:rPr>
      <w:rFonts w:ascii="Times New Roman" w:eastAsia="Times New Roman" w:hAnsi="Times New Roman" w:cs="Times New Roman"/>
      <w:b/>
      <w:bCs/>
      <w:i/>
      <w:iCs/>
      <w:lang w:val="en-GB"/>
    </w:rPr>
  </w:style>
  <w:style w:type="paragraph" w:styleId="Intestazione">
    <w:name w:val="header"/>
    <w:basedOn w:val="Normale"/>
    <w:link w:val="IntestazioneCarattere"/>
    <w:unhideWhenUsed/>
    <w:rsid w:val="00401BAE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01BA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01BAE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01BAE"/>
    <w:rPr>
      <w:rFonts w:ascii="Times New Roman" w:eastAsia="Times New Roman" w:hAnsi="Times New Roman" w:cs="Times New Roman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401B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rsid w:val="00401BAE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401B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BAE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401BAE"/>
    <w:pPr>
      <w:keepNext/>
      <w:spacing w:line="360" w:lineRule="auto"/>
      <w:ind w:left="360"/>
      <w:jc w:val="both"/>
      <w:outlineLvl w:val="0"/>
    </w:pPr>
    <w:rPr>
      <w:b/>
      <w:bCs/>
      <w:i/>
      <w:iCs/>
      <w:lang w:val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1B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401BAE"/>
    <w:rPr>
      <w:rFonts w:ascii="Times New Roman" w:eastAsia="Times New Roman" w:hAnsi="Times New Roman" w:cs="Times New Roman"/>
      <w:b/>
      <w:bCs/>
      <w:i/>
      <w:iCs/>
      <w:lang w:val="en-GB"/>
    </w:rPr>
  </w:style>
  <w:style w:type="paragraph" w:styleId="Intestazione">
    <w:name w:val="header"/>
    <w:basedOn w:val="Normale"/>
    <w:link w:val="IntestazioneCarattere"/>
    <w:unhideWhenUsed/>
    <w:rsid w:val="00401BAE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01BA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01BAE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01BAE"/>
    <w:rPr>
      <w:rFonts w:ascii="Times New Roman" w:eastAsia="Times New Roman" w:hAnsi="Times New Roman" w:cs="Times New Roman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401B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rsid w:val="00401BAE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40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strid-online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1696</Words>
  <Characters>9670</Characters>
  <Application>Microsoft Macintosh Word</Application>
  <DocSecurity>0</DocSecurity>
  <Lines>80</Lines>
  <Paragraphs>22</Paragraphs>
  <ScaleCrop>false</ScaleCrop>
  <Company/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benedetta barbisan</cp:lastModifiedBy>
  <cp:revision>53</cp:revision>
  <dcterms:created xsi:type="dcterms:W3CDTF">2015-01-15T14:41:00Z</dcterms:created>
  <dcterms:modified xsi:type="dcterms:W3CDTF">2017-07-17T13:01:00Z</dcterms:modified>
</cp:coreProperties>
</file>