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ED" w:rsidRPr="008666B8" w:rsidRDefault="00925CED" w:rsidP="008666B8">
      <w:pPr>
        <w:spacing w:after="0" w:line="240" w:lineRule="auto"/>
        <w:jc w:val="both"/>
        <w:rPr>
          <w:sz w:val="24"/>
          <w:szCs w:val="24"/>
        </w:rPr>
      </w:pPr>
      <w:r w:rsidRPr="008666B8">
        <w:rPr>
          <w:rFonts w:ascii="Garamond" w:hAnsi="Garamond" w:cs="Garamond"/>
          <w:sz w:val="24"/>
          <w:szCs w:val="24"/>
        </w:rPr>
        <w:t xml:space="preserve">Quelle est la différence entre la phénoménologie subjective et la phénoménologie asubjective ? Le plan d’explication de la phénoménologie subjective se situe dans le sujet. L’apparaître (de l’étant) est reconduit au subjectif (le moi, le vécu, la représentation, la pensée) comme ultime base d’éclaircissement. Dans la phénoménologie asubjective, le sujet dans son apparaître est un « résultat » au même titre que tout le reste. Il doit y avoir des règles </w:t>
      </w:r>
      <w:r w:rsidRPr="008666B8">
        <w:rPr>
          <w:rFonts w:ascii="Garamond" w:hAnsi="Garamond" w:cs="Garamond"/>
          <w:i/>
          <w:sz w:val="24"/>
          <w:szCs w:val="24"/>
        </w:rPr>
        <w:t>a priori</w:t>
      </w:r>
      <w:r w:rsidRPr="008666B8">
        <w:rPr>
          <w:rFonts w:ascii="Garamond" w:hAnsi="Garamond" w:cs="Garamond"/>
          <w:sz w:val="24"/>
          <w:szCs w:val="24"/>
        </w:rPr>
        <w:t xml:space="preserve"> tant de ma propre entrée dans l’apparition, que de l’apparaître de ce que je ne suis pas</w:t>
      </w:r>
      <w:r w:rsidRPr="008666B8">
        <w:rPr>
          <w:rStyle w:val="Ancredenotedebasdepage"/>
          <w:rFonts w:ascii="Garamond" w:hAnsi="Garamond" w:cs="Garamond"/>
          <w:sz w:val="24"/>
          <w:szCs w:val="24"/>
        </w:rPr>
        <w:footnoteReference w:id="1"/>
      </w:r>
      <w:r w:rsidRPr="008666B8">
        <w:rPr>
          <w:rFonts w:ascii="Garamond" w:hAnsi="Garamond" w:cs="Garamond"/>
          <w:sz w:val="24"/>
          <w:szCs w:val="24"/>
        </w:rPr>
        <w:t>.</w:t>
      </w:r>
    </w:p>
    <w:p w:rsidR="00EF2D74" w:rsidRPr="008666B8" w:rsidRDefault="00EF2D74" w:rsidP="008666B8">
      <w:pPr>
        <w:spacing w:after="0" w:line="240" w:lineRule="auto"/>
        <w:rPr>
          <w:sz w:val="24"/>
          <w:szCs w:val="24"/>
        </w:rPr>
      </w:pPr>
    </w:p>
    <w:p w:rsidR="00925CED" w:rsidRPr="008666B8" w:rsidRDefault="00925CED" w:rsidP="008666B8">
      <w:pPr>
        <w:pStyle w:val="Paragraphedeliste1"/>
        <w:spacing w:after="0" w:line="240" w:lineRule="auto"/>
        <w:ind w:left="0"/>
        <w:jc w:val="both"/>
        <w:rPr>
          <w:rFonts w:ascii="Garamond" w:hAnsi="Garamond" w:cs="Garamond"/>
          <w:sz w:val="24"/>
          <w:szCs w:val="24"/>
        </w:rPr>
      </w:pPr>
      <w:r w:rsidRPr="008666B8">
        <w:rPr>
          <w:rFonts w:ascii="Garamond" w:hAnsi="Garamond" w:cs="Garamond"/>
          <w:sz w:val="24"/>
          <w:szCs w:val="24"/>
        </w:rPr>
        <w:t xml:space="preserve">Où voit-on là quelque chose qui ressemble à de l'animation d'une structure de données ? Il se peut que les deux modes d'apparition [du rouge </w:t>
      </w:r>
      <w:proofErr w:type="spellStart"/>
      <w:r w:rsidRPr="008666B8">
        <w:rPr>
          <w:rFonts w:ascii="Garamond" w:hAnsi="Garamond" w:cs="Garamond"/>
          <w:i/>
          <w:sz w:val="24"/>
          <w:szCs w:val="24"/>
        </w:rPr>
        <w:t>n.n</w:t>
      </w:r>
      <w:proofErr w:type="spellEnd"/>
      <w:r w:rsidRPr="008666B8">
        <w:rPr>
          <w:rFonts w:ascii="Garamond" w:hAnsi="Garamond" w:cs="Garamond"/>
          <w:sz w:val="24"/>
          <w:szCs w:val="24"/>
        </w:rPr>
        <w:t xml:space="preserve">.] soient liés par un rapport de fondation réciproque, mais dans ce cas c'est précisément parce qu'ils sont tous les deux </w:t>
      </w:r>
      <w:r w:rsidRPr="008666B8">
        <w:rPr>
          <w:rFonts w:ascii="Garamond" w:hAnsi="Garamond" w:cs="Garamond"/>
          <w:i/>
          <w:iCs/>
          <w:sz w:val="24"/>
          <w:szCs w:val="24"/>
        </w:rPr>
        <w:t>objectifs</w:t>
      </w:r>
      <w:r w:rsidRPr="008666B8">
        <w:rPr>
          <w:rStyle w:val="Ancredenotedebasdepage"/>
          <w:rFonts w:ascii="Garamond" w:hAnsi="Garamond" w:cs="Garamond"/>
          <w:i/>
          <w:iCs/>
          <w:sz w:val="24"/>
          <w:szCs w:val="24"/>
        </w:rPr>
        <w:footnoteReference w:id="2"/>
      </w:r>
      <w:r w:rsidRPr="008666B8">
        <w:rPr>
          <w:rFonts w:ascii="Garamond" w:hAnsi="Garamond" w:cs="Garamond"/>
          <w:sz w:val="24"/>
          <w:szCs w:val="24"/>
        </w:rPr>
        <w:t>.</w:t>
      </w:r>
    </w:p>
    <w:p w:rsidR="00925CED" w:rsidRPr="008666B8" w:rsidRDefault="00925CED" w:rsidP="008666B8">
      <w:pPr>
        <w:pStyle w:val="Paragraphedeliste1"/>
        <w:spacing w:after="0" w:line="240" w:lineRule="auto"/>
        <w:ind w:left="0"/>
        <w:jc w:val="both"/>
        <w:rPr>
          <w:sz w:val="24"/>
          <w:szCs w:val="24"/>
        </w:rPr>
      </w:pPr>
    </w:p>
    <w:p w:rsidR="00925CED" w:rsidRPr="008666B8" w:rsidRDefault="00925CED" w:rsidP="008666B8">
      <w:pPr>
        <w:pStyle w:val="Paragraphedeliste1"/>
        <w:spacing w:after="0" w:line="240" w:lineRule="auto"/>
        <w:ind w:left="0"/>
        <w:jc w:val="both"/>
        <w:rPr>
          <w:rFonts w:ascii="Garamond" w:hAnsi="Garamond" w:cs="Garamond"/>
          <w:sz w:val="24"/>
          <w:szCs w:val="24"/>
        </w:rPr>
      </w:pPr>
      <w:r w:rsidRPr="008666B8">
        <w:rPr>
          <w:rFonts w:ascii="Garamond" w:hAnsi="Garamond" w:cs="Garamond"/>
          <w:sz w:val="24"/>
          <w:szCs w:val="24"/>
        </w:rPr>
        <w:t xml:space="preserve">Il y a une différence entre les caractères que j'attribue à la « chose même » comme ses propriétés, et ceux qui, bien que donnés de concert ne lui appartiennent pas, mais à l'aide et sur le fondement desquels elle apparaît [il s'agit des caractères positionnels, thétiques et de donation </w:t>
      </w:r>
      <w:proofErr w:type="spellStart"/>
      <w:r w:rsidRPr="008666B8">
        <w:rPr>
          <w:rFonts w:ascii="Garamond" w:hAnsi="Garamond" w:cs="Garamond"/>
          <w:i/>
          <w:iCs/>
          <w:sz w:val="24"/>
          <w:szCs w:val="24"/>
        </w:rPr>
        <w:t>n.n</w:t>
      </w:r>
      <w:proofErr w:type="spellEnd"/>
      <w:r w:rsidRPr="008666B8">
        <w:rPr>
          <w:rFonts w:ascii="Garamond" w:hAnsi="Garamond" w:cs="Garamond"/>
          <w:i/>
          <w:iCs/>
          <w:sz w:val="24"/>
          <w:szCs w:val="24"/>
        </w:rPr>
        <w:t>.</w:t>
      </w:r>
      <w:r w:rsidRPr="008666B8">
        <w:rPr>
          <w:rFonts w:ascii="Garamond" w:hAnsi="Garamond" w:cs="Garamond"/>
          <w:sz w:val="24"/>
          <w:szCs w:val="24"/>
        </w:rPr>
        <w:t>]. Mais les deux espèces de caractères apparaissent dans le monde, dans le champ phénoménal, « là-devant » moi ; ils ne sont pas présents en tant que vécus, comme quelque chose de subjectif</w:t>
      </w:r>
      <w:r w:rsidRPr="008666B8">
        <w:rPr>
          <w:rStyle w:val="Ancredenotedebasdepage"/>
          <w:rFonts w:ascii="Garamond" w:hAnsi="Garamond" w:cs="Garamond"/>
          <w:sz w:val="24"/>
          <w:szCs w:val="24"/>
        </w:rPr>
        <w:footnoteReference w:id="3"/>
      </w:r>
      <w:r w:rsidRPr="008666B8">
        <w:rPr>
          <w:rFonts w:ascii="Garamond" w:hAnsi="Garamond" w:cs="Garamond"/>
          <w:sz w:val="24"/>
          <w:szCs w:val="24"/>
        </w:rPr>
        <w:t xml:space="preserve">. </w:t>
      </w:r>
    </w:p>
    <w:p w:rsidR="00925CED" w:rsidRPr="008666B8" w:rsidRDefault="00925CED" w:rsidP="008666B8">
      <w:pPr>
        <w:pStyle w:val="Paragraphedeliste1"/>
        <w:spacing w:after="0" w:line="240" w:lineRule="auto"/>
        <w:ind w:left="0"/>
        <w:jc w:val="both"/>
        <w:rPr>
          <w:rFonts w:ascii="Garamond" w:hAnsi="Garamond" w:cs="Garamond"/>
          <w:sz w:val="24"/>
          <w:szCs w:val="24"/>
        </w:rPr>
      </w:pPr>
    </w:p>
    <w:p w:rsidR="00925CED" w:rsidRPr="008666B8" w:rsidRDefault="00925CED" w:rsidP="008666B8">
      <w:pPr>
        <w:pStyle w:val="Paragraphedeliste1"/>
        <w:spacing w:after="0" w:line="240" w:lineRule="auto"/>
        <w:ind w:left="0"/>
        <w:jc w:val="both"/>
        <w:rPr>
          <w:sz w:val="24"/>
          <w:szCs w:val="24"/>
        </w:rPr>
      </w:pPr>
      <w:r w:rsidRPr="008666B8">
        <w:rPr>
          <w:rFonts w:ascii="Garamond" w:hAnsi="Garamond" w:cs="Garamond"/>
          <w:sz w:val="24"/>
          <w:szCs w:val="24"/>
        </w:rPr>
        <w:t>La « subjectivité » des caractères thétiques et des caractères de donation est « extérieure », (là-devant nous), au même titre que les choses mêmes qui apparaissent</w:t>
      </w:r>
      <w:r w:rsidRPr="008666B8">
        <w:rPr>
          <w:rStyle w:val="Ancredenotedebasdepage"/>
          <w:rFonts w:ascii="Garamond" w:hAnsi="Garamond" w:cs="Garamond"/>
          <w:sz w:val="24"/>
          <w:szCs w:val="24"/>
        </w:rPr>
        <w:footnoteReference w:id="4"/>
      </w:r>
      <w:r w:rsidRPr="008666B8">
        <w:rPr>
          <w:rFonts w:ascii="Garamond" w:hAnsi="Garamond" w:cs="Garamond"/>
          <w:sz w:val="24"/>
          <w:szCs w:val="24"/>
        </w:rPr>
        <w:t xml:space="preserve">. </w:t>
      </w:r>
    </w:p>
    <w:p w:rsidR="00925CED" w:rsidRPr="008666B8" w:rsidRDefault="00925CED" w:rsidP="008666B8">
      <w:pPr>
        <w:pStyle w:val="Paragraphedeliste1"/>
        <w:spacing w:after="0" w:line="240" w:lineRule="auto"/>
        <w:ind w:left="0"/>
        <w:jc w:val="both"/>
        <w:rPr>
          <w:sz w:val="24"/>
          <w:szCs w:val="24"/>
        </w:rPr>
      </w:pPr>
    </w:p>
    <w:p w:rsidR="00925CED" w:rsidRPr="008666B8" w:rsidRDefault="00925CED" w:rsidP="008666B8">
      <w:pPr>
        <w:pStyle w:val="Paragraphedeliste1"/>
        <w:spacing w:after="0" w:line="240" w:lineRule="auto"/>
        <w:ind w:left="0"/>
        <w:jc w:val="both"/>
        <w:rPr>
          <w:rFonts w:ascii="Garamond" w:hAnsi="Garamond" w:cs="Garamond"/>
          <w:sz w:val="24"/>
          <w:szCs w:val="24"/>
        </w:rPr>
      </w:pPr>
      <w:r w:rsidRPr="008666B8">
        <w:rPr>
          <w:rFonts w:ascii="Garamond" w:hAnsi="Garamond" w:cs="Garamond"/>
          <w:sz w:val="24"/>
          <w:szCs w:val="24"/>
        </w:rPr>
        <w:t>Les accomplissements subjectifs présupposent des possibilités dans lesquelles le sujet vit et qu'il cherche à réaliser. Mais s'ensuit-il qu'ils soient eux-mêmes accessibles en original à travers un acte objectivant de la réflexion ? Ne sont-ils pas plutôt, eux aussi, à déchiffrer dans les phénomènes ? Les accomplissements subjectifs ne sont-ils pas quelque chose qui apparait dans un champ phénoménal, au même titre que les choses qu'ils font apparaître ? » (QQP, p. 238).</w:t>
      </w:r>
    </w:p>
    <w:p w:rsidR="00925CED" w:rsidRPr="008666B8" w:rsidRDefault="00925CED" w:rsidP="008666B8">
      <w:pPr>
        <w:pStyle w:val="Paragraphedeliste1"/>
        <w:spacing w:after="0" w:line="240" w:lineRule="auto"/>
        <w:ind w:left="0"/>
        <w:jc w:val="both"/>
        <w:rPr>
          <w:sz w:val="24"/>
          <w:szCs w:val="24"/>
        </w:rPr>
      </w:pPr>
    </w:p>
    <w:p w:rsidR="00925CED" w:rsidRPr="008666B8" w:rsidRDefault="00925CED" w:rsidP="008666B8">
      <w:pPr>
        <w:pStyle w:val="Paragraphedeliste1"/>
        <w:spacing w:after="0" w:line="240" w:lineRule="auto"/>
        <w:ind w:left="0"/>
        <w:jc w:val="both"/>
        <w:rPr>
          <w:sz w:val="24"/>
          <w:szCs w:val="24"/>
        </w:rPr>
      </w:pPr>
      <w:r w:rsidRPr="008666B8">
        <w:rPr>
          <w:rFonts w:ascii="Garamond" w:hAnsi="Garamond" w:cs="Garamond"/>
          <w:sz w:val="24"/>
          <w:szCs w:val="24"/>
        </w:rPr>
        <w:t xml:space="preserve">[La phénoménologie husserlienne] a posé la question de la subjectivité du sujet parce qu'aucune chose ne peut apparaître si elle n'apparaît à quelqu'un. En d'autres termes, l'apparition est toujours médiatisée par la subjectivité. Husserl conçoit son problème comme la constitution de l'étant à partir du sujet qui se saisit soi-même dans son originalité. En suivant ce programme philosophique il apparaît qu'une telle constitution de l'étant à partir du sujet est irréalisable, parce que l'être subjectif saisi dans son originalité présuppose un acte de 'retournement vers l'intérieur' </w:t>
      </w:r>
      <w:r w:rsidRPr="008666B8">
        <w:rPr>
          <w:rFonts w:ascii="Garamond" w:hAnsi="Garamond" w:cs="Garamond"/>
          <w:i/>
          <w:iCs/>
          <w:sz w:val="24"/>
          <w:szCs w:val="24"/>
        </w:rPr>
        <w:t>qui n'existe pas</w:t>
      </w:r>
      <w:r w:rsidRPr="008666B8">
        <w:rPr>
          <w:rFonts w:ascii="Garamond" w:hAnsi="Garamond" w:cs="Garamond"/>
          <w:sz w:val="24"/>
          <w:szCs w:val="24"/>
        </w:rPr>
        <w:t xml:space="preserve"> [nous soulignons]. Par conséquent toute cette systématique constitut</w:t>
      </w:r>
      <w:r w:rsidRPr="008666B8">
        <w:rPr>
          <w:rFonts w:ascii="Garamond" w:hAnsi="Garamond" w:cs="Garamond"/>
          <w:sz w:val="24"/>
          <w:szCs w:val="24"/>
        </w:rPr>
        <w:t>ive est elle aussi inexistante.</w:t>
      </w:r>
      <w:r w:rsidRPr="008666B8">
        <w:rPr>
          <w:rFonts w:ascii="Garamond" w:hAnsi="Garamond" w:cs="Garamond"/>
          <w:sz w:val="24"/>
          <w:szCs w:val="24"/>
        </w:rPr>
        <w:t xml:space="preserve"> (Jan Patočka, </w:t>
      </w:r>
      <w:r w:rsidRPr="008666B8">
        <w:rPr>
          <w:rFonts w:ascii="Garamond" w:hAnsi="Garamond" w:cs="Garamond"/>
          <w:i/>
          <w:iCs/>
          <w:sz w:val="24"/>
          <w:szCs w:val="24"/>
        </w:rPr>
        <w:t>Platon et l'Europe</w:t>
      </w:r>
      <w:r w:rsidRPr="008666B8">
        <w:rPr>
          <w:rFonts w:ascii="Garamond" w:hAnsi="Garamond" w:cs="Garamond"/>
          <w:iCs/>
          <w:sz w:val="24"/>
          <w:szCs w:val="24"/>
        </w:rPr>
        <w:t xml:space="preserve">, tr. </w:t>
      </w:r>
      <w:proofErr w:type="spellStart"/>
      <w:r w:rsidRPr="008666B8">
        <w:rPr>
          <w:rFonts w:ascii="Garamond" w:hAnsi="Garamond" w:cs="Garamond"/>
          <w:iCs/>
          <w:sz w:val="24"/>
          <w:szCs w:val="24"/>
        </w:rPr>
        <w:t>fr.</w:t>
      </w:r>
      <w:proofErr w:type="spellEnd"/>
      <w:r w:rsidRPr="008666B8">
        <w:rPr>
          <w:rFonts w:ascii="Garamond" w:hAnsi="Garamond" w:cs="Garamond"/>
          <w:iCs/>
          <w:sz w:val="24"/>
          <w:szCs w:val="24"/>
        </w:rPr>
        <w:t xml:space="preserve"> E. </w:t>
      </w:r>
      <w:proofErr w:type="spellStart"/>
      <w:r w:rsidRPr="008666B8">
        <w:rPr>
          <w:rFonts w:ascii="Garamond" w:hAnsi="Garamond" w:cs="Garamond"/>
          <w:iCs/>
          <w:sz w:val="24"/>
          <w:szCs w:val="24"/>
        </w:rPr>
        <w:t>Abrams</w:t>
      </w:r>
      <w:proofErr w:type="spellEnd"/>
      <w:r w:rsidRPr="008666B8">
        <w:rPr>
          <w:rFonts w:ascii="Garamond" w:hAnsi="Garamond" w:cs="Garamond"/>
          <w:iCs/>
          <w:sz w:val="24"/>
          <w:szCs w:val="24"/>
        </w:rPr>
        <w:t xml:space="preserve">, </w:t>
      </w:r>
      <w:proofErr w:type="spellStart"/>
      <w:r w:rsidRPr="008666B8">
        <w:rPr>
          <w:rFonts w:ascii="Garamond" w:hAnsi="Garamond" w:cs="Garamond"/>
          <w:iCs/>
          <w:sz w:val="24"/>
          <w:szCs w:val="24"/>
        </w:rPr>
        <w:t>Lagrasse</w:t>
      </w:r>
      <w:proofErr w:type="spellEnd"/>
      <w:r w:rsidRPr="008666B8">
        <w:rPr>
          <w:rFonts w:ascii="Garamond" w:hAnsi="Garamond" w:cs="Garamond"/>
          <w:iCs/>
          <w:sz w:val="24"/>
          <w:szCs w:val="24"/>
        </w:rPr>
        <w:t>, Verdier, 1983</w:t>
      </w:r>
      <w:r w:rsidRPr="008666B8">
        <w:rPr>
          <w:rFonts w:ascii="Garamond" w:hAnsi="Garamond" w:cs="Garamond"/>
          <w:iCs/>
          <w:sz w:val="24"/>
          <w:szCs w:val="24"/>
          <w:lang w:val="ro-RO"/>
        </w:rPr>
        <w:t xml:space="preserve">, </w:t>
      </w:r>
      <w:r w:rsidRPr="008666B8">
        <w:rPr>
          <w:rFonts w:ascii="Garamond" w:hAnsi="Garamond" w:cs="Garamond"/>
          <w:iCs/>
          <w:sz w:val="24"/>
          <w:szCs w:val="24"/>
        </w:rPr>
        <w:t>abrégé</w:t>
      </w:r>
      <w:r w:rsidRPr="008666B8">
        <w:rPr>
          <w:rFonts w:ascii="Garamond" w:hAnsi="Garamond" w:cs="Garamond"/>
          <w:i/>
          <w:iCs/>
          <w:sz w:val="24"/>
          <w:szCs w:val="24"/>
          <w:lang w:val="ro-RO"/>
        </w:rPr>
        <w:t xml:space="preserve"> </w:t>
      </w:r>
      <w:r w:rsidRPr="008666B8">
        <w:rPr>
          <w:rFonts w:ascii="Garamond" w:hAnsi="Garamond" w:cs="Garamond"/>
          <w:sz w:val="24"/>
          <w:szCs w:val="24"/>
        </w:rPr>
        <w:t>PE, p. 153</w:t>
      </w:r>
      <w:r w:rsidRPr="008666B8">
        <w:rPr>
          <w:rFonts w:ascii="Garamond" w:hAnsi="Garamond" w:cs="Garamond"/>
          <w:sz w:val="24"/>
          <w:szCs w:val="24"/>
        </w:rPr>
        <w:t>)</w:t>
      </w:r>
    </w:p>
    <w:p w:rsidR="00925CED" w:rsidRPr="008666B8" w:rsidRDefault="00925CED" w:rsidP="008666B8">
      <w:pPr>
        <w:spacing w:after="0" w:line="240" w:lineRule="auto"/>
        <w:rPr>
          <w:sz w:val="24"/>
          <w:szCs w:val="24"/>
        </w:rPr>
      </w:pPr>
    </w:p>
    <w:p w:rsidR="00925CED" w:rsidRPr="008666B8" w:rsidRDefault="00925CED" w:rsidP="008666B8">
      <w:pPr>
        <w:pStyle w:val="Paragraphedeliste1"/>
        <w:spacing w:after="0" w:line="240" w:lineRule="auto"/>
        <w:ind w:left="0"/>
        <w:jc w:val="both"/>
        <w:rPr>
          <w:rFonts w:ascii="Garamond" w:hAnsi="Garamond" w:cs="Garamond"/>
          <w:sz w:val="24"/>
          <w:szCs w:val="24"/>
        </w:rPr>
      </w:pPr>
      <w:r w:rsidRPr="008666B8">
        <w:rPr>
          <w:rFonts w:ascii="Garamond" w:hAnsi="Garamond" w:cs="Garamond"/>
          <w:sz w:val="24"/>
          <w:szCs w:val="24"/>
        </w:rPr>
        <w:t xml:space="preserve">Husserl lui-même finit par reconnaître que même dans ce cas il y a là, c'est-à-dire </w:t>
      </w:r>
      <w:r w:rsidRPr="008666B8">
        <w:rPr>
          <w:rFonts w:ascii="Garamond" w:hAnsi="Garamond" w:cs="Garamond"/>
          <w:i/>
          <w:iCs/>
          <w:sz w:val="24"/>
          <w:szCs w:val="24"/>
        </w:rPr>
        <w:t>devant nous</w:t>
      </w:r>
      <w:r w:rsidRPr="008666B8">
        <w:rPr>
          <w:rFonts w:ascii="Garamond" w:hAnsi="Garamond" w:cs="Garamond"/>
          <w:sz w:val="24"/>
          <w:szCs w:val="24"/>
        </w:rPr>
        <w:t xml:space="preserve"> [nous soulignons] davantage que les sons proférés, le signe graphique, etc. Or, ce plus n'est rien de subjectif. C'est la chose même qui est là, sur un mode déficient de donation […] Ce qui est là n'est pas un vécu ; ce n'est rien de subjectif au sens d'égologique ; c'est l'indice de la chose</w:t>
      </w:r>
      <w:r w:rsidRPr="008666B8">
        <w:rPr>
          <w:rStyle w:val="Ancredenotedebasdepage"/>
          <w:rFonts w:ascii="Garamond" w:hAnsi="Garamond" w:cs="Garamond"/>
          <w:sz w:val="24"/>
          <w:szCs w:val="24"/>
        </w:rPr>
        <w:footnoteReference w:id="5"/>
      </w:r>
      <w:r w:rsidRPr="008666B8">
        <w:rPr>
          <w:rFonts w:ascii="Garamond" w:hAnsi="Garamond" w:cs="Garamond"/>
          <w:sz w:val="24"/>
          <w:szCs w:val="24"/>
        </w:rPr>
        <w:t>.</w:t>
      </w:r>
    </w:p>
    <w:p w:rsidR="008666B8" w:rsidRDefault="008666B8" w:rsidP="008666B8">
      <w:pPr>
        <w:pStyle w:val="Paragraphedeliste1"/>
        <w:spacing w:after="0" w:line="240" w:lineRule="auto"/>
        <w:ind w:left="0"/>
        <w:jc w:val="both"/>
        <w:rPr>
          <w:rFonts w:ascii="Garamond" w:hAnsi="Garamond" w:cs="Garamond"/>
          <w:color w:val="000000" w:themeColor="text1"/>
          <w:sz w:val="24"/>
          <w:szCs w:val="24"/>
        </w:rPr>
      </w:pPr>
    </w:p>
    <w:p w:rsidR="00925CED" w:rsidRPr="008666B8" w:rsidRDefault="00925CED" w:rsidP="008666B8">
      <w:pPr>
        <w:pStyle w:val="Paragraphedeliste1"/>
        <w:spacing w:after="0" w:line="240" w:lineRule="auto"/>
        <w:ind w:left="0"/>
        <w:jc w:val="both"/>
        <w:rPr>
          <w:rFonts w:ascii="Garamond" w:hAnsi="Garamond" w:cs="Garamond"/>
          <w:sz w:val="24"/>
          <w:szCs w:val="24"/>
        </w:rPr>
      </w:pPr>
      <w:bookmarkStart w:id="0" w:name="_GoBack"/>
      <w:bookmarkEnd w:id="0"/>
      <w:r w:rsidRPr="008666B8">
        <w:rPr>
          <w:rFonts w:ascii="Garamond" w:hAnsi="Garamond" w:cs="Garamond"/>
          <w:color w:val="000000" w:themeColor="text1"/>
          <w:sz w:val="24"/>
          <w:szCs w:val="24"/>
        </w:rPr>
        <w:lastRenderedPageBreak/>
        <w:t>Qu’est-ce à dire que différentes données soient « appréhendées d</w:t>
      </w:r>
      <w:r w:rsidRPr="008666B8">
        <w:rPr>
          <w:rFonts w:ascii="Garamond" w:hAnsi="Garamond" w:cs="Garamond"/>
          <w:sz w:val="24"/>
          <w:szCs w:val="24"/>
        </w:rPr>
        <w:t xml:space="preserve">ans le même sens », « animées par la même intention » ? Rien d’autre que ceci : les différentes faces d’un objet de la perception, par exemple d’une boîte, apparaissent comme faces de </w:t>
      </w:r>
      <w:r w:rsidRPr="008666B8">
        <w:rPr>
          <w:rFonts w:ascii="Garamond" w:hAnsi="Garamond" w:cs="Garamond"/>
          <w:i/>
          <w:sz w:val="24"/>
          <w:szCs w:val="24"/>
        </w:rPr>
        <w:t>la même</w:t>
      </w:r>
      <w:r w:rsidRPr="008666B8">
        <w:rPr>
          <w:rFonts w:ascii="Garamond" w:hAnsi="Garamond" w:cs="Garamond"/>
          <w:sz w:val="24"/>
          <w:szCs w:val="24"/>
        </w:rPr>
        <w:t xml:space="preserve"> chose. Or, la chose qui apparaît dans ces aspects n’est évidemment pas une intention, mais une chose, maintenue comme telle au travers d’une pluralité de perspectives</w:t>
      </w:r>
      <w:r w:rsidRPr="008666B8">
        <w:rPr>
          <w:rStyle w:val="Ancredenotedebasdepage"/>
          <w:rFonts w:ascii="Garamond" w:hAnsi="Garamond" w:cs="Garamond"/>
          <w:sz w:val="24"/>
          <w:szCs w:val="24"/>
        </w:rPr>
        <w:footnoteReference w:id="6"/>
      </w:r>
      <w:r w:rsidRPr="008666B8">
        <w:rPr>
          <w:rFonts w:ascii="Garamond" w:hAnsi="Garamond" w:cs="Garamond"/>
          <w:sz w:val="24"/>
          <w:szCs w:val="24"/>
        </w:rPr>
        <w:t>.</w:t>
      </w:r>
    </w:p>
    <w:p w:rsidR="00925CED" w:rsidRPr="008666B8" w:rsidRDefault="00925CED" w:rsidP="008666B8">
      <w:pPr>
        <w:pStyle w:val="Paragraphedeliste1"/>
        <w:spacing w:after="0" w:line="240" w:lineRule="auto"/>
        <w:ind w:left="0"/>
        <w:jc w:val="both"/>
        <w:rPr>
          <w:rFonts w:ascii="Garamond" w:hAnsi="Garamond" w:cs="Garamond"/>
          <w:sz w:val="24"/>
          <w:szCs w:val="24"/>
        </w:rPr>
      </w:pPr>
    </w:p>
    <w:p w:rsidR="00925CED" w:rsidRPr="008666B8" w:rsidRDefault="00925CED" w:rsidP="008666B8">
      <w:pPr>
        <w:pStyle w:val="Notedebasdepage"/>
        <w:spacing w:after="0" w:line="240" w:lineRule="auto"/>
        <w:ind w:left="0" w:firstLine="0"/>
        <w:jc w:val="both"/>
        <w:rPr>
          <w:rFonts w:ascii="Garamond" w:hAnsi="Garamond"/>
          <w:sz w:val="24"/>
          <w:szCs w:val="24"/>
        </w:rPr>
      </w:pPr>
      <w:r w:rsidRPr="008666B8">
        <w:rPr>
          <w:rFonts w:ascii="Garamond" w:hAnsi="Garamond"/>
          <w:sz w:val="24"/>
          <w:szCs w:val="24"/>
        </w:rPr>
        <w:t>« Pour toutes ces raisons, on ne peut pas non plus parler d’une “intentionnalité de la conscience”. Ce n’est pas à même le moi et au sein de l’</w:t>
      </w:r>
      <w:proofErr w:type="spellStart"/>
      <w:r w:rsidRPr="008666B8">
        <w:rPr>
          <w:rFonts w:ascii="Garamond" w:hAnsi="Garamond"/>
          <w:sz w:val="24"/>
          <w:szCs w:val="24"/>
        </w:rPr>
        <w:t>égoïque</w:t>
      </w:r>
      <w:proofErr w:type="spellEnd"/>
      <w:r w:rsidRPr="008666B8">
        <w:rPr>
          <w:rFonts w:ascii="Garamond" w:hAnsi="Garamond"/>
          <w:sz w:val="24"/>
          <w:szCs w:val="24"/>
        </w:rPr>
        <w:t xml:space="preserve"> qu’il y a des renvois, mais à même l’apparaissant. S’il y a des “intentions”, elles sont quelque chose qui appartient à ce qui fait vis-à-vis au sujet […]. Les prétendues intentions ne sont rien d’autre que les lignes de force de l’apparaître à même l’apparaissant. Elles ne forment ni ne “constituent” rien, mais montrent simplement et renvoient à autre chose que ce qui déjà apparaît ». (« Épochè et réduction – manuscrit de travail », PP, p. 172 ; cf. aussi : p. 197 et 198).</w:t>
      </w:r>
    </w:p>
    <w:p w:rsidR="00925CED" w:rsidRPr="008666B8" w:rsidRDefault="00925CED" w:rsidP="008666B8">
      <w:pPr>
        <w:pStyle w:val="Paragraphedeliste1"/>
        <w:spacing w:after="0" w:line="240" w:lineRule="auto"/>
        <w:ind w:left="0"/>
        <w:jc w:val="both"/>
        <w:rPr>
          <w:sz w:val="24"/>
          <w:szCs w:val="24"/>
        </w:rPr>
      </w:pPr>
    </w:p>
    <w:p w:rsidR="00925CED" w:rsidRPr="008666B8" w:rsidRDefault="00925CED" w:rsidP="008666B8">
      <w:pPr>
        <w:pStyle w:val="Notedebasdepage"/>
        <w:spacing w:after="0" w:line="240" w:lineRule="auto"/>
        <w:ind w:left="0" w:firstLine="0"/>
        <w:jc w:val="both"/>
        <w:rPr>
          <w:rFonts w:ascii="Garamond" w:hAnsi="Garamond"/>
          <w:sz w:val="24"/>
          <w:szCs w:val="24"/>
        </w:rPr>
      </w:pPr>
      <w:r w:rsidRPr="008666B8">
        <w:rPr>
          <w:rFonts w:ascii="Garamond" w:hAnsi="Garamond"/>
          <w:sz w:val="24"/>
          <w:szCs w:val="24"/>
        </w:rPr>
        <w:t>[</w:t>
      </w:r>
      <w:r w:rsidRPr="008666B8">
        <w:rPr>
          <w:rFonts w:ascii="Garamond" w:hAnsi="Garamond"/>
          <w:sz w:val="24"/>
          <w:szCs w:val="24"/>
        </w:rPr>
        <w:t>La sphère d’apparition ne peut pas]</w:t>
      </w:r>
      <w:r w:rsidRPr="008666B8">
        <w:rPr>
          <w:rFonts w:ascii="Garamond" w:hAnsi="Garamond"/>
          <w:sz w:val="24"/>
          <w:szCs w:val="24"/>
        </w:rPr>
        <w:t xml:space="preserve"> être considérée comme la création du sujet, comme son jet arbitraire ; elle n’est pas subjective en ce sens radical. […] Et surtout, le </w:t>
      </w:r>
      <w:proofErr w:type="spellStart"/>
      <w:r w:rsidRPr="008666B8">
        <w:rPr>
          <w:rFonts w:ascii="Garamond" w:hAnsi="Garamond"/>
          <w:sz w:val="24"/>
          <w:szCs w:val="24"/>
        </w:rPr>
        <w:t>se</w:t>
      </w:r>
      <w:proofErr w:type="spellEnd"/>
      <w:r w:rsidRPr="008666B8">
        <w:rPr>
          <w:rFonts w:ascii="Garamond" w:hAnsi="Garamond"/>
          <w:sz w:val="24"/>
          <w:szCs w:val="24"/>
        </w:rPr>
        <w:t xml:space="preserve">-montrer qui s’y déploie n’est pas l’œuvre de l’homme. Il peut aussi </w:t>
      </w:r>
      <w:proofErr w:type="spellStart"/>
      <w:r w:rsidRPr="008666B8">
        <w:rPr>
          <w:rFonts w:ascii="Garamond" w:hAnsi="Garamond"/>
          <w:sz w:val="24"/>
          <w:szCs w:val="24"/>
        </w:rPr>
        <w:t>peu être</w:t>
      </w:r>
      <w:proofErr w:type="spellEnd"/>
      <w:r w:rsidRPr="008666B8">
        <w:rPr>
          <w:rFonts w:ascii="Garamond" w:hAnsi="Garamond"/>
          <w:sz w:val="24"/>
          <w:szCs w:val="24"/>
        </w:rPr>
        <w:t xml:space="preserve"> produit par l’homme que son être propre et la « lumière » qui le caractérise […]</w:t>
      </w:r>
      <w:r w:rsidRPr="008666B8">
        <w:rPr>
          <w:rStyle w:val="Appelnotedebasdep"/>
          <w:rFonts w:ascii="Garamond" w:hAnsi="Garamond"/>
          <w:sz w:val="24"/>
          <w:szCs w:val="24"/>
        </w:rPr>
        <w:footnoteReference w:id="7"/>
      </w:r>
      <w:r w:rsidRPr="008666B8">
        <w:rPr>
          <w:rFonts w:ascii="Garamond" w:hAnsi="Garamond"/>
          <w:sz w:val="24"/>
          <w:szCs w:val="24"/>
        </w:rPr>
        <w:t xml:space="preserve">.  </w:t>
      </w:r>
    </w:p>
    <w:p w:rsidR="00925CED" w:rsidRPr="008666B8" w:rsidRDefault="00925CED" w:rsidP="008666B8">
      <w:pPr>
        <w:pStyle w:val="Notedebasdepage"/>
        <w:spacing w:after="0" w:line="240" w:lineRule="auto"/>
        <w:ind w:left="0" w:firstLine="0"/>
        <w:jc w:val="both"/>
        <w:rPr>
          <w:rFonts w:ascii="Garamond" w:hAnsi="Garamond"/>
          <w:sz w:val="24"/>
          <w:szCs w:val="24"/>
        </w:rPr>
      </w:pPr>
    </w:p>
    <w:p w:rsidR="00925CED" w:rsidRPr="008666B8" w:rsidRDefault="00925CED" w:rsidP="008666B8">
      <w:pPr>
        <w:pStyle w:val="Notedebasdepage"/>
        <w:spacing w:after="0" w:line="240" w:lineRule="auto"/>
        <w:ind w:left="0" w:firstLine="0"/>
        <w:jc w:val="both"/>
        <w:rPr>
          <w:rFonts w:ascii="Garamond" w:hAnsi="Garamond" w:cs="Garamond"/>
          <w:sz w:val="24"/>
          <w:szCs w:val="24"/>
        </w:rPr>
      </w:pPr>
      <w:r w:rsidRPr="008666B8">
        <w:rPr>
          <w:rFonts w:ascii="Garamond" w:hAnsi="Garamond" w:cs="Garamond"/>
          <w:sz w:val="24"/>
          <w:szCs w:val="24"/>
        </w:rPr>
        <w:t>Les choses seraient alors ce qu’elles sont, non à partir de l’ouverture secondairement humaine, mais déjà à partir de l’ouverture primordiale, physique, de l’étant par l’être</w:t>
      </w:r>
      <w:r w:rsidRPr="008666B8">
        <w:rPr>
          <w:rStyle w:val="Ancredenotedebasdepage"/>
          <w:rFonts w:ascii="Garamond" w:hAnsi="Garamond" w:cs="Garamond"/>
          <w:sz w:val="24"/>
          <w:szCs w:val="24"/>
        </w:rPr>
        <w:footnoteReference w:id="8"/>
      </w:r>
      <w:r w:rsidRPr="008666B8">
        <w:rPr>
          <w:rFonts w:ascii="Garamond" w:hAnsi="Garamond" w:cs="Garamond"/>
          <w:sz w:val="24"/>
          <w:szCs w:val="24"/>
        </w:rPr>
        <w:t xml:space="preserve">.[…] Notre propre individuation appartiendrait elle aussi à cet univers de l'individuation primordiale englobant tout ce </w:t>
      </w:r>
      <w:r w:rsidRPr="008666B8">
        <w:rPr>
          <w:rFonts w:ascii="Garamond" w:hAnsi="Garamond" w:cs="Garamond"/>
          <w:sz w:val="24"/>
          <w:szCs w:val="24"/>
        </w:rPr>
        <w:lastRenderedPageBreak/>
        <w:t>qui se dévoile initialement dans sa simple advenue, dans son déploiement, sa naissance et sa disparition [...]</w:t>
      </w:r>
      <w:r w:rsidRPr="008666B8">
        <w:rPr>
          <w:rStyle w:val="Ancredenotedebasdepage"/>
          <w:rFonts w:ascii="Garamond" w:hAnsi="Garamond" w:cs="Garamond"/>
          <w:sz w:val="24"/>
          <w:szCs w:val="24"/>
        </w:rPr>
        <w:footnoteReference w:id="9"/>
      </w:r>
      <w:r w:rsidRPr="008666B8">
        <w:rPr>
          <w:rFonts w:ascii="Garamond" w:hAnsi="Garamond" w:cs="Garamond"/>
          <w:sz w:val="24"/>
          <w:szCs w:val="24"/>
        </w:rPr>
        <w:t>.</w:t>
      </w:r>
    </w:p>
    <w:p w:rsidR="00925CED" w:rsidRPr="008666B8" w:rsidRDefault="00925CED" w:rsidP="008666B8">
      <w:pPr>
        <w:pStyle w:val="Notedebasdepage"/>
        <w:spacing w:after="0" w:line="240" w:lineRule="auto"/>
        <w:ind w:left="0" w:firstLine="0"/>
        <w:jc w:val="both"/>
        <w:rPr>
          <w:rFonts w:ascii="Garamond" w:hAnsi="Garamond" w:cs="Garamond"/>
          <w:sz w:val="24"/>
          <w:szCs w:val="24"/>
        </w:rPr>
      </w:pPr>
    </w:p>
    <w:p w:rsidR="00925CED" w:rsidRPr="008666B8" w:rsidRDefault="00925CED" w:rsidP="008666B8">
      <w:pPr>
        <w:spacing w:after="0" w:line="240" w:lineRule="auto"/>
        <w:jc w:val="both"/>
        <w:rPr>
          <w:sz w:val="24"/>
          <w:szCs w:val="24"/>
        </w:rPr>
      </w:pPr>
      <w:r w:rsidRPr="008666B8">
        <w:rPr>
          <w:rFonts w:ascii="Garamond" w:hAnsi="Garamond" w:cs="Garamond"/>
          <w:sz w:val="24"/>
          <w:szCs w:val="24"/>
        </w:rPr>
        <w:t>La délimitation et le dévoilement peuvent être subsumés sous le concept global de manifestation. Le mouvement est le fondement de toute manifestation. Or la manifestation [...] n’est pas quelque chose dont l’essence demeurerait en retrait. Au contraire, l’être tout entier entre dans le phénomène car « être » ne signifie rien d’autre que déterminer un substrat ; la détermination du substrat est mouvement, et le mouvement réside précisément [...] dans la manifestation. Le mouvement est ainsi ce qui fonde l’identité de l’être et de l’apparaître. L’être est être manifeste</w:t>
      </w:r>
      <w:r w:rsidRPr="008666B8">
        <w:rPr>
          <w:rStyle w:val="Ancredenotedebasdepage"/>
          <w:rFonts w:ascii="Garamond" w:hAnsi="Garamond" w:cs="Garamond"/>
          <w:sz w:val="24"/>
          <w:szCs w:val="24"/>
        </w:rPr>
        <w:footnoteReference w:id="10"/>
      </w:r>
      <w:r w:rsidRPr="008666B8">
        <w:rPr>
          <w:rFonts w:ascii="Garamond" w:hAnsi="Garamond" w:cs="Garamond"/>
          <w:sz w:val="24"/>
          <w:szCs w:val="24"/>
        </w:rPr>
        <w:t>.</w:t>
      </w:r>
    </w:p>
    <w:p w:rsidR="00925CED" w:rsidRPr="008666B8" w:rsidRDefault="00925CED" w:rsidP="008666B8">
      <w:pPr>
        <w:pStyle w:val="Notedebasdepage"/>
        <w:spacing w:after="0" w:line="240" w:lineRule="auto"/>
        <w:ind w:left="0" w:firstLine="0"/>
        <w:jc w:val="both"/>
        <w:rPr>
          <w:rFonts w:ascii="Garamond" w:hAnsi="Garamond"/>
          <w:sz w:val="24"/>
          <w:szCs w:val="24"/>
        </w:rPr>
      </w:pPr>
    </w:p>
    <w:p w:rsidR="00925CED" w:rsidRPr="008666B8" w:rsidRDefault="00925CED" w:rsidP="008666B8">
      <w:pPr>
        <w:spacing w:after="0" w:line="240" w:lineRule="auto"/>
        <w:jc w:val="both"/>
        <w:rPr>
          <w:sz w:val="24"/>
          <w:szCs w:val="24"/>
        </w:rPr>
      </w:pPr>
      <w:r w:rsidRPr="008666B8">
        <w:rPr>
          <w:rFonts w:ascii="Garamond" w:hAnsi="Garamond" w:cs="Garamond"/>
          <w:sz w:val="24"/>
          <w:szCs w:val="24"/>
        </w:rPr>
        <w:t xml:space="preserve">Pourtant, cela signifie simplement qu’il doit y avoir toujours dans le monde un être qui insère l’apparition dans des enchaînements causaux, un être adapté, d’une part, à la structure de l’apparition, d’autre part, aux conditions du monde de la nature […]. Cette dualité du moi, à la fois récepteur de l’apparition et acteur causal est […] quelque chose qui doit être prévu </w:t>
      </w:r>
      <w:r w:rsidRPr="008666B8">
        <w:rPr>
          <w:rFonts w:ascii="Garamond" w:hAnsi="Garamond" w:cs="Garamond"/>
          <w:i/>
          <w:sz w:val="24"/>
          <w:szCs w:val="24"/>
        </w:rPr>
        <w:t>a priori</w:t>
      </w:r>
      <w:r w:rsidRPr="008666B8">
        <w:rPr>
          <w:rFonts w:ascii="Garamond" w:hAnsi="Garamond" w:cs="Garamond"/>
          <w:sz w:val="24"/>
          <w:szCs w:val="24"/>
        </w:rPr>
        <w:t xml:space="preserve"> dans la structure de l’apparition</w:t>
      </w:r>
      <w:r w:rsidRPr="008666B8">
        <w:rPr>
          <w:rStyle w:val="Ancredenotedebasdepage"/>
          <w:rFonts w:ascii="Garamond" w:hAnsi="Garamond" w:cs="Garamond"/>
          <w:sz w:val="24"/>
          <w:szCs w:val="24"/>
        </w:rPr>
        <w:footnoteReference w:id="11"/>
      </w:r>
      <w:r w:rsidRPr="008666B8">
        <w:rPr>
          <w:rFonts w:ascii="Garamond" w:hAnsi="Garamond" w:cs="Garamond"/>
          <w:sz w:val="24"/>
          <w:szCs w:val="24"/>
        </w:rPr>
        <w:t xml:space="preserve">. </w:t>
      </w:r>
    </w:p>
    <w:p w:rsidR="00925CED" w:rsidRPr="008666B8" w:rsidRDefault="00925CED" w:rsidP="008666B8">
      <w:pPr>
        <w:pStyle w:val="Notedebasdepage"/>
        <w:spacing w:after="0" w:line="240" w:lineRule="auto"/>
        <w:ind w:left="0" w:firstLine="0"/>
        <w:jc w:val="both"/>
        <w:rPr>
          <w:rFonts w:ascii="Garamond" w:hAnsi="Garamond"/>
          <w:sz w:val="24"/>
          <w:szCs w:val="24"/>
        </w:rPr>
      </w:pPr>
    </w:p>
    <w:p w:rsidR="00925CED" w:rsidRPr="008666B8" w:rsidRDefault="00925CED" w:rsidP="008666B8">
      <w:pPr>
        <w:spacing w:after="0" w:line="240" w:lineRule="auto"/>
        <w:jc w:val="both"/>
        <w:rPr>
          <w:sz w:val="24"/>
          <w:szCs w:val="24"/>
        </w:rPr>
      </w:pPr>
      <w:r w:rsidRPr="008666B8">
        <w:rPr>
          <w:rFonts w:ascii="Garamond" w:hAnsi="Garamond" w:cs="Garamond"/>
          <w:sz w:val="24"/>
          <w:szCs w:val="24"/>
        </w:rPr>
        <w:t xml:space="preserve">En recevant un centre, le monde devient monde environnant et se reflète en lui-même. Ce reflet ne peut exister que </w:t>
      </w:r>
      <w:r w:rsidRPr="008666B8">
        <w:rPr>
          <w:rFonts w:ascii="Garamond" w:hAnsi="Garamond" w:cs="Garamond"/>
          <w:i/>
          <w:sz w:val="24"/>
          <w:szCs w:val="24"/>
        </w:rPr>
        <w:t>dans</w:t>
      </w:r>
      <w:r w:rsidRPr="008666B8">
        <w:rPr>
          <w:rFonts w:ascii="Garamond" w:hAnsi="Garamond" w:cs="Garamond"/>
          <w:sz w:val="24"/>
          <w:szCs w:val="24"/>
        </w:rPr>
        <w:t xml:space="preserve"> le monde ; il ne dépasse pas le monde, bien qu’il présuppose l’émergence de quelque chose qui ne s’y manifeste pas sinon, à savoir les centres. [...] Ce n’est pas dire que l’homme soit le lieu où se réalise le « sens du monde ». Le monde n’a en effet aucun « sens », à moins qu’on ne qualifie ainsi un élément du contenu mondain. Le « sens » signifie un « </w:t>
      </w:r>
      <w:r w:rsidRPr="008666B8">
        <w:rPr>
          <w:rFonts w:ascii="Garamond" w:hAnsi="Garamond" w:cs="Garamond"/>
          <w:i/>
          <w:sz w:val="24"/>
          <w:szCs w:val="24"/>
        </w:rPr>
        <w:t>plus ultra </w:t>
      </w:r>
      <w:r w:rsidRPr="008666B8">
        <w:rPr>
          <w:rFonts w:ascii="Garamond" w:hAnsi="Garamond" w:cs="Garamond"/>
          <w:sz w:val="24"/>
          <w:szCs w:val="24"/>
        </w:rPr>
        <w:t>», une transcendance par rapport à tout ce qu’on peut dire « doué de sens », mais il n’y a rien qui soit au-delà du monde. Le monde de l’homme, l’environnement humain, montre néanmoins qu’en fournissant un sol à la réalisation du sens humain, le grand monde peut devenir pour l’homme un chez-soi</w:t>
      </w:r>
      <w:r w:rsidRPr="008666B8">
        <w:rPr>
          <w:rStyle w:val="Ancredenotedebasdepage"/>
          <w:rFonts w:ascii="Garamond" w:hAnsi="Garamond" w:cs="Garamond"/>
          <w:sz w:val="24"/>
          <w:szCs w:val="24"/>
        </w:rPr>
        <w:footnoteReference w:id="12"/>
      </w:r>
      <w:r w:rsidRPr="008666B8">
        <w:rPr>
          <w:rFonts w:ascii="Garamond" w:hAnsi="Garamond" w:cs="Garamond"/>
          <w:sz w:val="24"/>
          <w:szCs w:val="24"/>
        </w:rPr>
        <w:t>.</w:t>
      </w:r>
    </w:p>
    <w:p w:rsidR="00925CED" w:rsidRPr="008666B8" w:rsidRDefault="00925CED" w:rsidP="008666B8">
      <w:pPr>
        <w:pStyle w:val="Notedebasdepage"/>
        <w:spacing w:after="0" w:line="240" w:lineRule="auto"/>
        <w:ind w:left="0" w:firstLine="0"/>
        <w:jc w:val="both"/>
        <w:rPr>
          <w:rFonts w:ascii="Garamond" w:hAnsi="Garamond"/>
          <w:sz w:val="24"/>
          <w:szCs w:val="24"/>
        </w:rPr>
      </w:pPr>
    </w:p>
    <w:p w:rsidR="00925CED" w:rsidRPr="008666B8" w:rsidRDefault="00925CED" w:rsidP="008666B8">
      <w:pPr>
        <w:spacing w:after="0" w:line="240" w:lineRule="auto"/>
        <w:rPr>
          <w:sz w:val="24"/>
          <w:szCs w:val="24"/>
        </w:rPr>
      </w:pPr>
    </w:p>
    <w:sectPr w:rsidR="00925CED" w:rsidRPr="008666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2E" w:rsidRDefault="004E4D2E" w:rsidP="00925CED">
      <w:pPr>
        <w:spacing w:after="0" w:line="240" w:lineRule="auto"/>
      </w:pPr>
      <w:r>
        <w:separator/>
      </w:r>
    </w:p>
  </w:endnote>
  <w:endnote w:type="continuationSeparator" w:id="0">
    <w:p w:rsidR="004E4D2E" w:rsidRDefault="004E4D2E" w:rsidP="0092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2E" w:rsidRDefault="004E4D2E" w:rsidP="00925CED">
      <w:pPr>
        <w:spacing w:after="0" w:line="240" w:lineRule="auto"/>
      </w:pPr>
      <w:r>
        <w:separator/>
      </w:r>
    </w:p>
  </w:footnote>
  <w:footnote w:type="continuationSeparator" w:id="0">
    <w:p w:rsidR="004E4D2E" w:rsidRDefault="004E4D2E" w:rsidP="00925CED">
      <w:pPr>
        <w:spacing w:after="0" w:line="240" w:lineRule="auto"/>
      </w:pPr>
      <w:r>
        <w:continuationSeparator/>
      </w:r>
    </w:p>
  </w:footnote>
  <w:footnote w:id="1">
    <w:p w:rsidR="00925CED" w:rsidRDefault="00925CED" w:rsidP="00925CED">
      <w:pPr>
        <w:spacing w:after="0" w:line="240" w:lineRule="auto"/>
        <w:jc w:val="both"/>
      </w:pPr>
      <w:r>
        <w:rPr>
          <w:rStyle w:val="Caractresdenotedebasdepage"/>
        </w:rPr>
        <w:footnoteRef/>
      </w:r>
      <w:r>
        <w:rPr>
          <w:rFonts w:ascii="Garamond" w:eastAsia="Garamond" w:hAnsi="Garamond" w:cs="Garamond"/>
          <w:sz w:val="20"/>
          <w:szCs w:val="20"/>
        </w:rPr>
        <w:t xml:space="preserve"> </w:t>
      </w:r>
      <w:r>
        <w:rPr>
          <w:rFonts w:ascii="Garamond" w:hAnsi="Garamond" w:cs="Garamond"/>
          <w:sz w:val="20"/>
          <w:szCs w:val="20"/>
        </w:rPr>
        <w:t>« [Corps, possibilités, monde, champ d’apparition] », in Jan Patočka</w:t>
      </w:r>
      <w:r>
        <w:rPr>
          <w:rFonts w:ascii="Garamond" w:hAnsi="Garamond" w:cs="Garamond"/>
          <w:sz w:val="20"/>
          <w:szCs w:val="20"/>
          <w:lang w:val="ro-RO"/>
        </w:rPr>
        <w:t xml:space="preserve">, </w:t>
      </w:r>
      <w:r>
        <w:rPr>
          <w:rFonts w:ascii="Garamond" w:hAnsi="Garamond" w:cs="Garamond"/>
          <w:i/>
          <w:iCs/>
          <w:sz w:val="20"/>
          <w:szCs w:val="20"/>
        </w:rPr>
        <w:t>Papiers phénoménologiques</w:t>
      </w:r>
      <w:r>
        <w:rPr>
          <w:rFonts w:ascii="Garamond" w:hAnsi="Garamond" w:cs="Garamond"/>
          <w:sz w:val="20"/>
          <w:szCs w:val="20"/>
        </w:rPr>
        <w:t xml:space="preserve">, tr. </w:t>
      </w:r>
      <w:proofErr w:type="spellStart"/>
      <w:r>
        <w:rPr>
          <w:rFonts w:ascii="Garamond" w:hAnsi="Garamond" w:cs="Garamond"/>
          <w:sz w:val="20"/>
          <w:szCs w:val="20"/>
        </w:rPr>
        <w:t>fr.</w:t>
      </w:r>
      <w:proofErr w:type="spellEnd"/>
      <w:r>
        <w:rPr>
          <w:rFonts w:ascii="Garamond" w:hAnsi="Garamond" w:cs="Garamond"/>
          <w:sz w:val="20"/>
          <w:szCs w:val="20"/>
        </w:rPr>
        <w:t xml:space="preserve"> E. </w:t>
      </w:r>
      <w:proofErr w:type="spellStart"/>
      <w:r>
        <w:rPr>
          <w:rFonts w:ascii="Garamond" w:hAnsi="Garamond" w:cs="Garamond"/>
          <w:sz w:val="20"/>
          <w:szCs w:val="20"/>
        </w:rPr>
        <w:t>Abrams</w:t>
      </w:r>
      <w:proofErr w:type="spellEnd"/>
      <w:r>
        <w:rPr>
          <w:rFonts w:ascii="Garamond" w:hAnsi="Garamond" w:cs="Garamond"/>
          <w:sz w:val="20"/>
          <w:szCs w:val="20"/>
        </w:rPr>
        <w:t>, Grenoble, Millon, 1990</w:t>
      </w:r>
      <w:r>
        <w:rPr>
          <w:rFonts w:ascii="Garamond" w:hAnsi="Garamond" w:cs="Garamond"/>
          <w:sz w:val="20"/>
          <w:szCs w:val="20"/>
          <w:lang w:val="ro-RO"/>
        </w:rPr>
        <w:t xml:space="preserve">, </w:t>
      </w:r>
      <w:r>
        <w:rPr>
          <w:rFonts w:ascii="Garamond" w:hAnsi="Garamond" w:cs="Garamond"/>
          <w:sz w:val="20"/>
          <w:szCs w:val="20"/>
        </w:rPr>
        <w:t>abrégé</w:t>
      </w:r>
      <w:r>
        <w:rPr>
          <w:rFonts w:ascii="Garamond" w:hAnsi="Garamond" w:cs="Garamond"/>
          <w:sz w:val="20"/>
          <w:szCs w:val="20"/>
          <w:lang w:val="ro-RO"/>
        </w:rPr>
        <w:t xml:space="preserve"> </w:t>
      </w:r>
      <w:r>
        <w:rPr>
          <w:rFonts w:ascii="Garamond" w:hAnsi="Garamond" w:cs="Garamond"/>
          <w:sz w:val="20"/>
          <w:szCs w:val="20"/>
        </w:rPr>
        <w:t>PP, p. 127.</w:t>
      </w:r>
    </w:p>
  </w:footnote>
  <w:footnote w:id="2">
    <w:p w:rsidR="00925CED" w:rsidRDefault="00925CED" w:rsidP="00925CED">
      <w:pPr>
        <w:pStyle w:val="Notedebasdepage"/>
        <w:spacing w:after="0" w:line="240" w:lineRule="auto"/>
        <w:ind w:left="0" w:firstLine="0"/>
        <w:jc w:val="both"/>
      </w:pPr>
      <w:r>
        <w:rPr>
          <w:rStyle w:val="Caractresdenotedebasdepage"/>
        </w:rPr>
        <w:footnoteRef/>
      </w:r>
      <w:r>
        <w:rPr>
          <w:rFonts w:ascii="Garamond" w:eastAsia="Garamond" w:hAnsi="Garamond" w:cs="Garamond"/>
        </w:rPr>
        <w:t xml:space="preserve"> </w:t>
      </w:r>
      <w:r>
        <w:rPr>
          <w:rFonts w:ascii="Garamond" w:hAnsi="Garamond" w:cs="Garamond"/>
        </w:rPr>
        <w:t xml:space="preserve">Jan Patočka, </w:t>
      </w:r>
      <w:r>
        <w:rPr>
          <w:rFonts w:ascii="Garamond" w:hAnsi="Garamond" w:cs="Garamond"/>
          <w:i/>
        </w:rPr>
        <w:t>Qu’est-ce que la phénoménologie ?</w:t>
      </w:r>
      <w:r>
        <w:rPr>
          <w:rFonts w:ascii="Garamond" w:hAnsi="Garamond" w:cs="Garamond"/>
        </w:rPr>
        <w:t xml:space="preserve">, tr. </w:t>
      </w:r>
      <w:proofErr w:type="spellStart"/>
      <w:r>
        <w:rPr>
          <w:rFonts w:ascii="Garamond" w:hAnsi="Garamond" w:cs="Garamond"/>
        </w:rPr>
        <w:t>fr.</w:t>
      </w:r>
      <w:proofErr w:type="spellEnd"/>
      <w:r>
        <w:rPr>
          <w:rFonts w:ascii="Garamond" w:hAnsi="Garamond" w:cs="Garamond"/>
        </w:rPr>
        <w:t xml:space="preserve"> E. </w:t>
      </w:r>
      <w:proofErr w:type="spellStart"/>
      <w:r>
        <w:rPr>
          <w:rFonts w:ascii="Garamond" w:hAnsi="Garamond" w:cs="Garamond"/>
        </w:rPr>
        <w:t>Abrams</w:t>
      </w:r>
      <w:proofErr w:type="spellEnd"/>
      <w:r>
        <w:rPr>
          <w:rFonts w:ascii="Garamond" w:hAnsi="Garamond" w:cs="Garamond"/>
        </w:rPr>
        <w:t>, Grenoble, Jérôme Millon</w:t>
      </w:r>
      <w:r>
        <w:rPr>
          <w:rFonts w:ascii="Garamond" w:hAnsi="Garamond" w:cs="Garamond"/>
        </w:rPr>
        <w:t>, 2002 [1988], abrégé QQP, p.204</w:t>
      </w:r>
      <w:r>
        <w:rPr>
          <w:rFonts w:ascii="Garamond" w:hAnsi="Garamond" w:cs="Garamond"/>
        </w:rPr>
        <w:t>.</w:t>
      </w:r>
    </w:p>
  </w:footnote>
  <w:footnote w:id="3">
    <w:p w:rsidR="00925CED" w:rsidRDefault="00925CED" w:rsidP="00925CED">
      <w:pPr>
        <w:pStyle w:val="Notedebasdepage"/>
        <w:spacing w:after="0" w:line="240" w:lineRule="auto"/>
        <w:ind w:left="0" w:firstLine="0"/>
        <w:jc w:val="both"/>
      </w:pPr>
      <w:r>
        <w:rPr>
          <w:rStyle w:val="Caractresdenotedebasdepage"/>
        </w:rPr>
        <w:footnoteRef/>
      </w:r>
      <w:r>
        <w:rPr>
          <w:rFonts w:ascii="Garamond" w:eastAsia="Garamond" w:hAnsi="Garamond" w:cs="Garamond"/>
        </w:rPr>
        <w:t xml:space="preserve"> </w:t>
      </w:r>
      <w:r>
        <w:rPr>
          <w:rFonts w:ascii="Garamond" w:hAnsi="Garamond" w:cs="Garamond"/>
        </w:rPr>
        <w:t>QQP, p. 235. Nous rencontrons le même constat plus loin : « Le sens objectif sur le fondement duquel un objet de la pensée est intuitionné, les caractères positionnels, les caractères de donation […] tout cela n'est rien de 'subjectif' au sens d'un vécu réel (</w:t>
      </w:r>
      <w:proofErr w:type="spellStart"/>
      <w:r>
        <w:rPr>
          <w:rFonts w:ascii="Garamond" w:hAnsi="Garamond" w:cs="Garamond"/>
          <w:i/>
          <w:iCs/>
        </w:rPr>
        <w:t>reelen</w:t>
      </w:r>
      <w:proofErr w:type="spellEnd"/>
      <w:r>
        <w:rPr>
          <w:rFonts w:ascii="Garamond" w:hAnsi="Garamond" w:cs="Garamond"/>
        </w:rPr>
        <w:t xml:space="preserve">) qui </w:t>
      </w:r>
      <w:r>
        <w:rPr>
          <w:rFonts w:ascii="Garamond" w:hAnsi="Garamond" w:cs="Garamond"/>
          <w:i/>
          <w:iCs/>
        </w:rPr>
        <w:t>m</w:t>
      </w:r>
      <w:r>
        <w:rPr>
          <w:rFonts w:ascii="Garamond" w:hAnsi="Garamond" w:cs="Garamond"/>
        </w:rPr>
        <w:t>'appartiendrait à titre d'élément constitutif. Bien au contraire, tout cela s'insère dans la sphère phénoménale au sein de laquelle je vis et je m'oriente » (QQP, p. 240).</w:t>
      </w:r>
    </w:p>
  </w:footnote>
  <w:footnote w:id="4">
    <w:p w:rsidR="00925CED" w:rsidRDefault="00925CED" w:rsidP="00925CED">
      <w:pPr>
        <w:pStyle w:val="Notedebasdepage"/>
        <w:spacing w:after="0" w:line="240" w:lineRule="auto"/>
        <w:ind w:left="0" w:firstLine="0"/>
        <w:jc w:val="both"/>
      </w:pPr>
      <w:r>
        <w:rPr>
          <w:rStyle w:val="Caractresdenotedebasdepage"/>
        </w:rPr>
        <w:footnoteRef/>
      </w:r>
      <w:r>
        <w:rPr>
          <w:rFonts w:ascii="Garamond" w:eastAsia="Garamond" w:hAnsi="Garamond" w:cs="Garamond"/>
        </w:rPr>
        <w:t xml:space="preserve"> </w:t>
      </w:r>
      <w:r>
        <w:rPr>
          <w:rFonts w:ascii="Garamond" w:hAnsi="Garamond" w:cs="Garamond"/>
        </w:rPr>
        <w:t>QQP, p. 237.</w:t>
      </w:r>
    </w:p>
  </w:footnote>
  <w:footnote w:id="5">
    <w:p w:rsidR="00925CED" w:rsidRDefault="00925CED" w:rsidP="00925CED">
      <w:pPr>
        <w:pStyle w:val="Notedebasdepage"/>
        <w:spacing w:after="0" w:line="240" w:lineRule="auto"/>
        <w:ind w:left="0" w:firstLine="0"/>
        <w:jc w:val="both"/>
      </w:pPr>
      <w:r>
        <w:rPr>
          <w:rStyle w:val="Caractresdenotedebasdepage"/>
        </w:rPr>
        <w:footnoteRef/>
      </w:r>
      <w:r>
        <w:rPr>
          <w:rFonts w:ascii="Garamond" w:eastAsia="Garamond" w:hAnsi="Garamond" w:cs="Garamond"/>
        </w:rPr>
        <w:t xml:space="preserve"> </w:t>
      </w:r>
      <w:r>
        <w:rPr>
          <w:rFonts w:ascii="Garamond" w:hAnsi="Garamond" w:cs="Garamond"/>
        </w:rPr>
        <w:t>QQP, p. 236.</w:t>
      </w:r>
    </w:p>
  </w:footnote>
  <w:footnote w:id="6">
    <w:p w:rsidR="00925CED" w:rsidRDefault="00925CED" w:rsidP="00925CED">
      <w:pPr>
        <w:pStyle w:val="Notedebasdepage"/>
        <w:spacing w:after="0" w:line="240" w:lineRule="auto"/>
        <w:ind w:left="0" w:firstLine="0"/>
        <w:jc w:val="both"/>
      </w:pPr>
      <w:r>
        <w:rPr>
          <w:rStyle w:val="Caractresdenotedebasdepage"/>
        </w:rPr>
        <w:footnoteRef/>
      </w:r>
      <w:r>
        <w:rPr>
          <w:rFonts w:ascii="Garamond" w:eastAsia="Garamond" w:hAnsi="Garamond" w:cs="Garamond"/>
        </w:rPr>
        <w:t xml:space="preserve"> </w:t>
      </w:r>
      <w:r>
        <w:rPr>
          <w:rFonts w:ascii="Garamond" w:hAnsi="Garamond" w:cs="Garamond"/>
        </w:rPr>
        <w:t>QQP, p. 207.</w:t>
      </w:r>
    </w:p>
  </w:footnote>
  <w:footnote w:id="7">
    <w:p w:rsidR="00925CED" w:rsidRPr="00882F19" w:rsidRDefault="00925CED" w:rsidP="00925CED">
      <w:pPr>
        <w:pStyle w:val="Notedebasdepage"/>
        <w:spacing w:after="0"/>
        <w:ind w:left="284" w:hanging="284"/>
        <w:rPr>
          <w:rFonts w:ascii="Garamond" w:hAnsi="Garamond"/>
        </w:rPr>
      </w:pPr>
      <w:r w:rsidRPr="00882F19">
        <w:rPr>
          <w:rStyle w:val="Appelnotedebasdep"/>
          <w:rFonts w:ascii="Garamond" w:hAnsi="Garamond"/>
        </w:rPr>
        <w:footnoteRef/>
      </w:r>
      <w:r w:rsidRPr="00882F19">
        <w:rPr>
          <w:rFonts w:ascii="Garamond" w:hAnsi="Garamond"/>
        </w:rPr>
        <w:t xml:space="preserve"> QQP, p. 212.</w:t>
      </w:r>
    </w:p>
  </w:footnote>
  <w:footnote w:id="8">
    <w:p w:rsidR="00925CED" w:rsidRPr="00925CED" w:rsidRDefault="00925CED" w:rsidP="00925CED">
      <w:pPr>
        <w:spacing w:after="0" w:line="240" w:lineRule="auto"/>
        <w:jc w:val="both"/>
        <w:rPr>
          <w:rFonts w:ascii="Garamond" w:hAnsi="Garamond" w:cs="Garamond"/>
          <w:sz w:val="20"/>
          <w:szCs w:val="20"/>
        </w:rPr>
      </w:pPr>
      <w:r>
        <w:rPr>
          <w:rStyle w:val="Caractresdenotedebasdepage"/>
        </w:rPr>
        <w:footnoteRef/>
      </w:r>
      <w:r w:rsidRPr="00574BEB">
        <w:rPr>
          <w:rFonts w:ascii="Garamond" w:eastAsia="Garamond" w:hAnsi="Garamond" w:cs="Garamond"/>
          <w:sz w:val="20"/>
          <w:szCs w:val="20"/>
        </w:rPr>
        <w:t xml:space="preserve"> </w:t>
      </w:r>
      <w:r w:rsidRPr="00925CED">
        <w:rPr>
          <w:rFonts w:ascii="Garamond" w:hAnsi="Garamond" w:cs="Garamond"/>
          <w:sz w:val="20"/>
          <w:szCs w:val="20"/>
        </w:rPr>
        <w:t xml:space="preserve">À la suite de </w:t>
      </w:r>
      <w:r w:rsidR="008666B8">
        <w:rPr>
          <w:rFonts w:ascii="Garamond" w:hAnsi="Garamond" w:cs="Garamond"/>
          <w:sz w:val="20"/>
          <w:szCs w:val="20"/>
        </w:rPr>
        <w:t>Patoč</w:t>
      </w:r>
      <w:r w:rsidR="008666B8" w:rsidRPr="00925CED">
        <w:rPr>
          <w:rFonts w:ascii="Garamond" w:hAnsi="Garamond" w:cs="Garamond"/>
          <w:sz w:val="20"/>
          <w:szCs w:val="20"/>
        </w:rPr>
        <w:t>ka</w:t>
      </w:r>
      <w:r w:rsidR="008666B8" w:rsidRPr="00925CED">
        <w:rPr>
          <w:rFonts w:ascii="Garamond" w:hAnsi="Garamond" w:cs="Garamond"/>
          <w:sz w:val="20"/>
          <w:szCs w:val="20"/>
        </w:rPr>
        <w:t xml:space="preserve"> </w:t>
      </w:r>
      <w:r w:rsidRPr="00925CED">
        <w:rPr>
          <w:rFonts w:ascii="Garamond" w:hAnsi="Garamond" w:cs="Garamond"/>
          <w:sz w:val="20"/>
          <w:szCs w:val="20"/>
        </w:rPr>
        <w:t>nous considérons comme équivalentes les expressions suivantes :</w:t>
      </w:r>
      <w:r>
        <w:rPr>
          <w:rFonts w:ascii="Garamond" w:hAnsi="Garamond" w:cs="Garamond"/>
          <w:sz w:val="20"/>
          <w:szCs w:val="20"/>
        </w:rPr>
        <w:t xml:space="preserve"> </w:t>
      </w:r>
      <w:r w:rsidRPr="00925CED">
        <w:rPr>
          <w:rFonts w:ascii="Garamond" w:hAnsi="Garamond" w:cs="Garamond"/>
          <w:sz w:val="20"/>
          <w:szCs w:val="20"/>
        </w:rPr>
        <w:t>« manifestation comme délimitation » (</w:t>
      </w:r>
      <w:r w:rsidRPr="00925CED">
        <w:rPr>
          <w:rFonts w:ascii="Garamond" w:hAnsi="Garamond" w:cs="Garamond"/>
          <w:i/>
          <w:iCs/>
          <w:sz w:val="20"/>
          <w:szCs w:val="20"/>
        </w:rPr>
        <w:t xml:space="preserve">i. e. </w:t>
      </w:r>
      <w:r w:rsidRPr="00925CED">
        <w:rPr>
          <w:rFonts w:ascii="Garamond" w:hAnsi="Garamond" w:cs="Garamond"/>
          <w:sz w:val="20"/>
          <w:szCs w:val="20"/>
        </w:rPr>
        <w:t>premier sens de la manifestation par rapport à</w:t>
      </w:r>
      <w:r>
        <w:rPr>
          <w:rFonts w:ascii="Garamond" w:hAnsi="Garamond" w:cs="Garamond"/>
          <w:sz w:val="20"/>
          <w:szCs w:val="20"/>
        </w:rPr>
        <w:t xml:space="preserve"> </w:t>
      </w:r>
      <w:r w:rsidRPr="00925CED">
        <w:rPr>
          <w:rFonts w:ascii="Garamond" w:hAnsi="Garamond" w:cs="Garamond"/>
          <w:sz w:val="20"/>
          <w:szCs w:val="20"/>
        </w:rPr>
        <w:t>celui, secondaire, de l’apparaître-à-moi), « ouverture primordiale, physique, de l’étant par</w:t>
      </w:r>
      <w:r>
        <w:rPr>
          <w:rFonts w:ascii="Garamond" w:hAnsi="Garamond" w:cs="Garamond"/>
          <w:sz w:val="20"/>
          <w:szCs w:val="20"/>
        </w:rPr>
        <w:t xml:space="preserve"> </w:t>
      </w:r>
      <w:r w:rsidRPr="00925CED">
        <w:rPr>
          <w:rFonts w:ascii="Garamond" w:hAnsi="Garamond" w:cs="Garamond"/>
          <w:sz w:val="20"/>
          <w:szCs w:val="20"/>
        </w:rPr>
        <w:t xml:space="preserve">l’être », </w:t>
      </w:r>
      <w:r w:rsidRPr="00925CED">
        <w:rPr>
          <w:rFonts w:ascii="Garamond" w:hAnsi="Garamond" w:cs="Garamond"/>
          <w:i/>
          <w:iCs/>
          <w:sz w:val="20"/>
          <w:szCs w:val="20"/>
        </w:rPr>
        <w:t>physis</w:t>
      </w:r>
      <w:r w:rsidRPr="00925CED">
        <w:rPr>
          <w:rFonts w:ascii="Garamond" w:hAnsi="Garamond" w:cs="Garamond"/>
          <w:sz w:val="20"/>
          <w:szCs w:val="20"/>
        </w:rPr>
        <w:t>, « être comme délimitation », « individuation », « tout de l’espace-temps ».</w:t>
      </w:r>
      <w:r>
        <w:rPr>
          <w:rFonts w:ascii="Garamond" w:hAnsi="Garamond" w:cs="Garamond"/>
          <w:sz w:val="20"/>
          <w:szCs w:val="20"/>
        </w:rPr>
        <w:t xml:space="preserve"> </w:t>
      </w:r>
      <w:r w:rsidRPr="00925CED">
        <w:rPr>
          <w:rFonts w:ascii="Garamond" w:hAnsi="Garamond" w:cs="Garamond"/>
          <w:sz w:val="20"/>
          <w:szCs w:val="20"/>
        </w:rPr>
        <w:t xml:space="preserve">En effet, </w:t>
      </w:r>
      <w:r w:rsidR="008666B8">
        <w:rPr>
          <w:rFonts w:ascii="Garamond" w:hAnsi="Garamond" w:cs="Garamond"/>
          <w:sz w:val="20"/>
          <w:szCs w:val="20"/>
        </w:rPr>
        <w:t>Patoč</w:t>
      </w:r>
      <w:r w:rsidR="008666B8" w:rsidRPr="00925CED">
        <w:rPr>
          <w:rFonts w:ascii="Garamond" w:hAnsi="Garamond" w:cs="Garamond"/>
          <w:sz w:val="20"/>
          <w:szCs w:val="20"/>
        </w:rPr>
        <w:t>ka</w:t>
      </w:r>
      <w:r w:rsidR="008666B8" w:rsidRPr="00925CED">
        <w:rPr>
          <w:rFonts w:ascii="Garamond" w:hAnsi="Garamond" w:cs="Garamond"/>
          <w:sz w:val="20"/>
          <w:szCs w:val="20"/>
        </w:rPr>
        <w:t xml:space="preserve"> </w:t>
      </w:r>
      <w:r w:rsidRPr="00925CED">
        <w:rPr>
          <w:rFonts w:ascii="Garamond" w:hAnsi="Garamond" w:cs="Garamond"/>
          <w:sz w:val="20"/>
          <w:szCs w:val="20"/>
        </w:rPr>
        <w:t>thématise à plusieurs endroits la différence entre, d’un côté, l’entrée</w:t>
      </w:r>
      <w:r>
        <w:rPr>
          <w:rFonts w:ascii="Garamond" w:hAnsi="Garamond" w:cs="Garamond"/>
          <w:sz w:val="20"/>
          <w:szCs w:val="20"/>
        </w:rPr>
        <w:t xml:space="preserve"> </w:t>
      </w:r>
      <w:r w:rsidRPr="00925CED">
        <w:rPr>
          <w:rFonts w:ascii="Garamond" w:hAnsi="Garamond" w:cs="Garamond"/>
          <w:sz w:val="20"/>
          <w:szCs w:val="20"/>
        </w:rPr>
        <w:t>des étants dans l’apparaître-à-moi, et, d’un autre côté, leur individuation physique, qui</w:t>
      </w:r>
      <w:r>
        <w:rPr>
          <w:rFonts w:ascii="Garamond" w:hAnsi="Garamond" w:cs="Garamond"/>
          <w:sz w:val="20"/>
          <w:szCs w:val="20"/>
        </w:rPr>
        <w:t xml:space="preserve"> </w:t>
      </w:r>
      <w:r w:rsidRPr="00925CED">
        <w:rPr>
          <w:rFonts w:ascii="Garamond" w:hAnsi="Garamond" w:cs="Garamond"/>
          <w:sz w:val="20"/>
          <w:szCs w:val="20"/>
        </w:rPr>
        <w:t>précède et n’attend pas la première. À quelques exceptions près, l’on peut envisager la</w:t>
      </w:r>
      <w:r>
        <w:rPr>
          <w:rFonts w:ascii="Garamond" w:hAnsi="Garamond" w:cs="Garamond"/>
          <w:sz w:val="20"/>
          <w:szCs w:val="20"/>
        </w:rPr>
        <w:t xml:space="preserve"> </w:t>
      </w:r>
      <w:r w:rsidRPr="00925CED">
        <w:rPr>
          <w:rFonts w:ascii="Garamond" w:hAnsi="Garamond" w:cs="Garamond"/>
          <w:sz w:val="20"/>
          <w:szCs w:val="20"/>
        </w:rPr>
        <w:t>décennie allant d’à peu près 1964 jusqu’à 1974 comme la période qui voit la formulation</w:t>
      </w:r>
      <w:r>
        <w:rPr>
          <w:rFonts w:ascii="Garamond" w:hAnsi="Garamond" w:cs="Garamond"/>
          <w:sz w:val="20"/>
          <w:szCs w:val="20"/>
        </w:rPr>
        <w:t xml:space="preserve"> </w:t>
      </w:r>
      <w:r w:rsidRPr="00925CED">
        <w:rPr>
          <w:rFonts w:ascii="Garamond" w:hAnsi="Garamond" w:cs="Garamond"/>
          <w:sz w:val="20"/>
          <w:szCs w:val="20"/>
        </w:rPr>
        <w:t xml:space="preserve">détaillée des contributions </w:t>
      </w:r>
      <w:r w:rsidR="008666B8">
        <w:rPr>
          <w:rFonts w:ascii="Garamond" w:hAnsi="Garamond" w:cs="Garamond"/>
          <w:sz w:val="20"/>
          <w:szCs w:val="20"/>
        </w:rPr>
        <w:t>p</w:t>
      </w:r>
      <w:r w:rsidR="008666B8">
        <w:rPr>
          <w:rFonts w:ascii="Garamond" w:hAnsi="Garamond" w:cs="Garamond"/>
          <w:sz w:val="20"/>
          <w:szCs w:val="20"/>
        </w:rPr>
        <w:t>atoč</w:t>
      </w:r>
      <w:r w:rsidR="008666B8">
        <w:rPr>
          <w:rFonts w:ascii="Garamond" w:hAnsi="Garamond" w:cs="Garamond"/>
          <w:sz w:val="20"/>
          <w:szCs w:val="20"/>
        </w:rPr>
        <w:t xml:space="preserve">kiennes </w:t>
      </w:r>
      <w:r w:rsidRPr="00925CED">
        <w:rPr>
          <w:rFonts w:ascii="Garamond" w:hAnsi="Garamond" w:cs="Garamond"/>
          <w:sz w:val="20"/>
          <w:szCs w:val="20"/>
        </w:rPr>
        <w:t>les plus importantes à la phénoménologie,</w:t>
      </w:r>
      <w:r>
        <w:rPr>
          <w:rFonts w:ascii="Garamond" w:hAnsi="Garamond" w:cs="Garamond"/>
          <w:sz w:val="20"/>
          <w:szCs w:val="20"/>
        </w:rPr>
        <w:t xml:space="preserve"> </w:t>
      </w:r>
      <w:r w:rsidRPr="00925CED">
        <w:rPr>
          <w:rFonts w:ascii="Garamond" w:hAnsi="Garamond" w:cs="Garamond"/>
          <w:sz w:val="20"/>
          <w:szCs w:val="20"/>
        </w:rPr>
        <w:t>puisque, après d’autres projets, parfois de circonstance, il y reprend ses recherches en</w:t>
      </w:r>
      <w:r>
        <w:rPr>
          <w:rFonts w:ascii="Garamond" w:hAnsi="Garamond" w:cs="Garamond"/>
          <w:sz w:val="20"/>
          <w:szCs w:val="20"/>
        </w:rPr>
        <w:t xml:space="preserve"> </w:t>
      </w:r>
      <w:r w:rsidRPr="00925CED">
        <w:rPr>
          <w:rFonts w:ascii="Garamond" w:hAnsi="Garamond" w:cs="Garamond"/>
          <w:sz w:val="20"/>
          <w:szCs w:val="20"/>
        </w:rPr>
        <w:t>phénoménologie fondamentale. Lors de cette décennie, la première et la dernière occurrence</w:t>
      </w:r>
      <w:r>
        <w:rPr>
          <w:rFonts w:ascii="Garamond" w:hAnsi="Garamond" w:cs="Garamond"/>
          <w:sz w:val="20"/>
          <w:szCs w:val="20"/>
        </w:rPr>
        <w:t xml:space="preserve"> </w:t>
      </w:r>
      <w:r w:rsidRPr="00925CED">
        <w:rPr>
          <w:rFonts w:ascii="Garamond" w:hAnsi="Garamond" w:cs="Garamond"/>
          <w:sz w:val="20"/>
          <w:szCs w:val="20"/>
        </w:rPr>
        <w:t>de la distinction entre la « délimitation » physique préalable des étants et leur « dévoilement</w:t>
      </w:r>
      <w:r>
        <w:rPr>
          <w:rFonts w:ascii="Garamond" w:hAnsi="Garamond" w:cs="Garamond"/>
          <w:sz w:val="20"/>
          <w:szCs w:val="20"/>
        </w:rPr>
        <w:t xml:space="preserve"> </w:t>
      </w:r>
      <w:r w:rsidRPr="00925CED">
        <w:rPr>
          <w:rFonts w:ascii="Garamond" w:hAnsi="Garamond" w:cs="Garamond"/>
          <w:sz w:val="20"/>
          <w:szCs w:val="20"/>
        </w:rPr>
        <w:t>» dans l’apparaître-à-moi sont thématisées (selon une inspiration – déclarée –</w:t>
      </w:r>
      <w:r>
        <w:rPr>
          <w:rFonts w:ascii="Garamond" w:hAnsi="Garamond" w:cs="Garamond"/>
          <w:sz w:val="20"/>
          <w:szCs w:val="20"/>
        </w:rPr>
        <w:t xml:space="preserve"> </w:t>
      </w:r>
      <w:r w:rsidRPr="00925CED">
        <w:rPr>
          <w:rFonts w:ascii="Garamond" w:hAnsi="Garamond" w:cs="Garamond"/>
          <w:sz w:val="20"/>
          <w:szCs w:val="20"/>
        </w:rPr>
        <w:t xml:space="preserve">à la fois aristotélicienne et heideggérienne) en utilisant le lexique de la </w:t>
      </w:r>
      <w:r w:rsidRPr="00925CED">
        <w:rPr>
          <w:rFonts w:ascii="Garamond" w:hAnsi="Garamond" w:cs="Garamond"/>
          <w:i/>
          <w:iCs/>
          <w:sz w:val="20"/>
          <w:szCs w:val="20"/>
        </w:rPr>
        <w:t>manifestation</w:t>
      </w:r>
      <w:r w:rsidRPr="00925CED">
        <w:rPr>
          <w:rFonts w:ascii="Garamond" w:hAnsi="Garamond" w:cs="Garamond"/>
          <w:sz w:val="20"/>
          <w:szCs w:val="20"/>
        </w:rPr>
        <w:t>. Il</w:t>
      </w:r>
      <w:r>
        <w:rPr>
          <w:rFonts w:ascii="Garamond" w:hAnsi="Garamond" w:cs="Garamond"/>
          <w:sz w:val="20"/>
          <w:szCs w:val="20"/>
        </w:rPr>
        <w:t xml:space="preserve"> </w:t>
      </w:r>
      <w:r w:rsidRPr="00925CED">
        <w:rPr>
          <w:rFonts w:ascii="Garamond" w:hAnsi="Garamond" w:cs="Garamond"/>
          <w:sz w:val="20"/>
          <w:szCs w:val="20"/>
        </w:rPr>
        <w:t>s’agit du texte de 1964 « La conception aristotélicienne du mouvement : signification philosophique</w:t>
      </w:r>
      <w:r>
        <w:rPr>
          <w:rFonts w:ascii="Garamond" w:hAnsi="Garamond" w:cs="Garamond"/>
          <w:sz w:val="20"/>
          <w:szCs w:val="20"/>
        </w:rPr>
        <w:t xml:space="preserve"> </w:t>
      </w:r>
      <w:r w:rsidRPr="00925CED">
        <w:rPr>
          <w:rFonts w:ascii="Garamond" w:hAnsi="Garamond" w:cs="Garamond"/>
          <w:sz w:val="20"/>
          <w:szCs w:val="20"/>
        </w:rPr>
        <w:t xml:space="preserve">et recherches historiques » (in </w:t>
      </w:r>
      <w:r w:rsidRPr="00925CED">
        <w:rPr>
          <w:rFonts w:ascii="Garamond" w:hAnsi="Garamond" w:cs="Garamond"/>
          <w:i/>
          <w:iCs/>
          <w:sz w:val="20"/>
          <w:szCs w:val="20"/>
        </w:rPr>
        <w:t>Le monde naturel et le mouvement…</w:t>
      </w:r>
      <w:r w:rsidRPr="00925CED">
        <w:rPr>
          <w:rFonts w:ascii="Garamond" w:hAnsi="Garamond" w:cs="Garamond"/>
          <w:sz w:val="20"/>
          <w:szCs w:val="20"/>
        </w:rPr>
        <w:t>, p. 132 ;</w:t>
      </w:r>
      <w:r>
        <w:rPr>
          <w:rFonts w:ascii="Garamond" w:hAnsi="Garamond" w:cs="Garamond"/>
          <w:sz w:val="20"/>
          <w:szCs w:val="20"/>
        </w:rPr>
        <w:t xml:space="preserve"> </w:t>
      </w:r>
      <w:r w:rsidRPr="00925CED">
        <w:rPr>
          <w:rFonts w:ascii="Garamond" w:hAnsi="Garamond" w:cs="Garamond"/>
          <w:sz w:val="20"/>
          <w:szCs w:val="20"/>
        </w:rPr>
        <w:t>les passages clés sont cités plus bas dans l’article), mais aussi de la reprise, significative,</w:t>
      </w:r>
      <w:r>
        <w:rPr>
          <w:rFonts w:ascii="Garamond" w:hAnsi="Garamond" w:cs="Garamond"/>
          <w:sz w:val="20"/>
          <w:szCs w:val="20"/>
        </w:rPr>
        <w:t xml:space="preserve"> </w:t>
      </w:r>
      <w:r w:rsidRPr="00925CED">
        <w:rPr>
          <w:rFonts w:ascii="Garamond" w:hAnsi="Garamond" w:cs="Garamond"/>
          <w:sz w:val="20"/>
          <w:szCs w:val="20"/>
        </w:rPr>
        <w:t xml:space="preserve">du même vocabulaire de la manifestation dans la neuvième session du séminaire </w:t>
      </w:r>
      <w:r w:rsidRPr="00925CED">
        <w:rPr>
          <w:rFonts w:ascii="Garamond" w:hAnsi="Garamond" w:cs="Garamond"/>
          <w:i/>
          <w:iCs/>
          <w:sz w:val="20"/>
          <w:szCs w:val="20"/>
        </w:rPr>
        <w:t>Platon</w:t>
      </w:r>
      <w:r>
        <w:rPr>
          <w:rFonts w:ascii="Garamond" w:hAnsi="Garamond" w:cs="Garamond"/>
          <w:i/>
          <w:iCs/>
          <w:sz w:val="20"/>
          <w:szCs w:val="20"/>
        </w:rPr>
        <w:t xml:space="preserve"> </w:t>
      </w:r>
      <w:r w:rsidRPr="00925CED">
        <w:rPr>
          <w:rFonts w:ascii="Garamond" w:hAnsi="Garamond" w:cs="Garamond"/>
          <w:i/>
          <w:iCs/>
          <w:sz w:val="20"/>
          <w:szCs w:val="20"/>
        </w:rPr>
        <w:t xml:space="preserve">et l’Europe </w:t>
      </w:r>
      <w:r w:rsidRPr="00925CED">
        <w:rPr>
          <w:rFonts w:ascii="Garamond" w:hAnsi="Garamond" w:cs="Garamond"/>
          <w:sz w:val="20"/>
          <w:szCs w:val="20"/>
        </w:rPr>
        <w:t>(p. 170), endroit qui réunit d’ailleurs le lexique de la manifestation comme</w:t>
      </w:r>
      <w:r>
        <w:rPr>
          <w:rFonts w:ascii="Garamond" w:hAnsi="Garamond" w:cs="Garamond"/>
          <w:sz w:val="20"/>
          <w:szCs w:val="20"/>
        </w:rPr>
        <w:t xml:space="preserve"> </w:t>
      </w:r>
      <w:r w:rsidRPr="00925CED">
        <w:rPr>
          <w:rFonts w:ascii="Garamond" w:hAnsi="Garamond" w:cs="Garamond"/>
          <w:sz w:val="20"/>
          <w:szCs w:val="20"/>
        </w:rPr>
        <w:t xml:space="preserve">délimitation et le lexique de la </w:t>
      </w:r>
      <w:r w:rsidRPr="00925CED">
        <w:rPr>
          <w:rFonts w:ascii="Garamond" w:hAnsi="Garamond" w:cs="Garamond"/>
          <w:i/>
          <w:iCs/>
          <w:sz w:val="20"/>
          <w:szCs w:val="20"/>
        </w:rPr>
        <w:t>physis</w:t>
      </w:r>
      <w:r w:rsidR="008666B8">
        <w:rPr>
          <w:rFonts w:ascii="Garamond" w:hAnsi="Garamond" w:cs="Garamond"/>
          <w:sz w:val="20"/>
          <w:szCs w:val="20"/>
        </w:rPr>
        <w:t>. Patoč</w:t>
      </w:r>
      <w:r w:rsidR="008666B8" w:rsidRPr="00925CED">
        <w:rPr>
          <w:rFonts w:ascii="Garamond" w:hAnsi="Garamond" w:cs="Garamond"/>
          <w:sz w:val="20"/>
          <w:szCs w:val="20"/>
        </w:rPr>
        <w:t>ka</w:t>
      </w:r>
      <w:r w:rsidRPr="00925CED">
        <w:rPr>
          <w:rFonts w:ascii="Garamond" w:hAnsi="Garamond" w:cs="Garamond"/>
          <w:sz w:val="20"/>
          <w:szCs w:val="20"/>
        </w:rPr>
        <w:t xml:space="preserve"> thématise cette même différence selon</w:t>
      </w:r>
      <w:r>
        <w:rPr>
          <w:rFonts w:ascii="Garamond" w:hAnsi="Garamond" w:cs="Garamond"/>
          <w:sz w:val="20"/>
          <w:szCs w:val="20"/>
        </w:rPr>
        <w:t xml:space="preserve"> </w:t>
      </w:r>
      <w:r w:rsidRPr="00925CED">
        <w:rPr>
          <w:rFonts w:ascii="Garamond" w:hAnsi="Garamond" w:cs="Garamond"/>
          <w:sz w:val="20"/>
          <w:szCs w:val="20"/>
        </w:rPr>
        <w:t xml:space="preserve">une inspiration plutôt finkéenne (et donc selon le vocabulaire de « </w:t>
      </w:r>
      <w:r w:rsidRPr="00925CED">
        <w:rPr>
          <w:rFonts w:ascii="Garamond" w:hAnsi="Garamond" w:cs="Garamond"/>
          <w:i/>
          <w:iCs/>
          <w:sz w:val="20"/>
          <w:szCs w:val="20"/>
        </w:rPr>
        <w:t xml:space="preserve">l’individuation </w:t>
      </w:r>
      <w:r w:rsidRPr="00925CED">
        <w:rPr>
          <w:rFonts w:ascii="Garamond" w:hAnsi="Garamond" w:cs="Garamond"/>
          <w:sz w:val="20"/>
          <w:szCs w:val="20"/>
        </w:rPr>
        <w:t>» des</w:t>
      </w:r>
      <w:r>
        <w:rPr>
          <w:rFonts w:ascii="Garamond" w:hAnsi="Garamond" w:cs="Garamond"/>
          <w:sz w:val="20"/>
          <w:szCs w:val="20"/>
        </w:rPr>
        <w:t xml:space="preserve"> </w:t>
      </w:r>
      <w:r w:rsidRPr="00925CED">
        <w:rPr>
          <w:rFonts w:ascii="Garamond" w:hAnsi="Garamond" w:cs="Garamond"/>
          <w:sz w:val="20"/>
          <w:szCs w:val="20"/>
        </w:rPr>
        <w:t>étants et de leur « émergence » hors du « cadre de l’espace-temps ») dans le grand texte</w:t>
      </w:r>
      <w:r>
        <w:rPr>
          <w:rFonts w:ascii="Garamond" w:hAnsi="Garamond" w:cs="Garamond"/>
          <w:sz w:val="20"/>
          <w:szCs w:val="20"/>
        </w:rPr>
        <w:t xml:space="preserve"> </w:t>
      </w:r>
      <w:r w:rsidRPr="00925CED">
        <w:rPr>
          <w:rFonts w:ascii="Garamond" w:hAnsi="Garamond" w:cs="Garamond"/>
          <w:sz w:val="20"/>
          <w:szCs w:val="20"/>
        </w:rPr>
        <w:t xml:space="preserve">de synthèse qu’est « </w:t>
      </w:r>
      <w:r w:rsidRPr="00925CED">
        <w:rPr>
          <w:rFonts w:ascii="Garamond" w:hAnsi="Garamond" w:cs="Garamond"/>
          <w:i/>
          <w:iCs/>
          <w:sz w:val="20"/>
          <w:szCs w:val="20"/>
        </w:rPr>
        <w:t xml:space="preserve">Le monde naturel </w:t>
      </w:r>
      <w:r w:rsidRPr="00925CED">
        <w:rPr>
          <w:rFonts w:ascii="Garamond" w:hAnsi="Garamond" w:cs="Garamond"/>
          <w:sz w:val="20"/>
          <w:szCs w:val="20"/>
        </w:rPr>
        <w:t>dans la méditation de son auteur trente-trois ans</w:t>
      </w:r>
      <w:r>
        <w:rPr>
          <w:rFonts w:ascii="Garamond" w:hAnsi="Garamond" w:cs="Garamond"/>
          <w:sz w:val="20"/>
          <w:szCs w:val="20"/>
        </w:rPr>
        <w:t xml:space="preserve"> </w:t>
      </w:r>
      <w:r w:rsidRPr="00925CED">
        <w:rPr>
          <w:rFonts w:ascii="Garamond" w:hAnsi="Garamond" w:cs="Garamond"/>
          <w:sz w:val="20"/>
          <w:szCs w:val="20"/>
        </w:rPr>
        <w:t xml:space="preserve">après » (les passages clés sont à trouver dans J. </w:t>
      </w:r>
      <w:r w:rsidR="008666B8">
        <w:rPr>
          <w:rFonts w:ascii="Garamond" w:hAnsi="Garamond" w:cs="Garamond"/>
          <w:sz w:val="20"/>
          <w:szCs w:val="20"/>
        </w:rPr>
        <w:t>Patoč</w:t>
      </w:r>
      <w:r w:rsidR="008666B8" w:rsidRPr="00925CED">
        <w:rPr>
          <w:rFonts w:ascii="Garamond" w:hAnsi="Garamond" w:cs="Garamond"/>
          <w:sz w:val="20"/>
          <w:szCs w:val="20"/>
        </w:rPr>
        <w:t>ka</w:t>
      </w:r>
      <w:r w:rsidRPr="00925CED">
        <w:rPr>
          <w:rFonts w:ascii="Garamond" w:hAnsi="Garamond" w:cs="Garamond"/>
          <w:sz w:val="20"/>
          <w:szCs w:val="20"/>
        </w:rPr>
        <w:t>, « Méditation… », p. 100-101, où</w:t>
      </w:r>
      <w:r>
        <w:rPr>
          <w:rFonts w:ascii="Garamond" w:hAnsi="Garamond" w:cs="Garamond"/>
          <w:sz w:val="20"/>
          <w:szCs w:val="20"/>
        </w:rPr>
        <w:t xml:space="preserve"> </w:t>
      </w:r>
      <w:r w:rsidRPr="00925CED">
        <w:rPr>
          <w:rFonts w:ascii="Garamond" w:hAnsi="Garamond" w:cs="Garamond"/>
          <w:sz w:val="20"/>
          <w:szCs w:val="20"/>
        </w:rPr>
        <w:t xml:space="preserve">apparaît en même temps le lexique de la </w:t>
      </w:r>
      <w:r w:rsidRPr="00925CED">
        <w:rPr>
          <w:rFonts w:ascii="Garamond" w:hAnsi="Garamond" w:cs="Garamond"/>
          <w:i/>
          <w:iCs/>
          <w:sz w:val="20"/>
          <w:szCs w:val="20"/>
        </w:rPr>
        <w:t>physis</w:t>
      </w:r>
      <w:r w:rsidRPr="00925CED">
        <w:rPr>
          <w:rFonts w:ascii="Garamond" w:hAnsi="Garamond" w:cs="Garamond"/>
          <w:sz w:val="20"/>
          <w:szCs w:val="20"/>
        </w:rPr>
        <w:t>). Selon une inspiration à la fois heideggérienne</w:t>
      </w:r>
      <w:r>
        <w:rPr>
          <w:rFonts w:ascii="Garamond" w:hAnsi="Garamond" w:cs="Garamond"/>
          <w:sz w:val="20"/>
          <w:szCs w:val="20"/>
        </w:rPr>
        <w:t xml:space="preserve"> </w:t>
      </w:r>
      <w:r w:rsidRPr="00925CED">
        <w:rPr>
          <w:rFonts w:ascii="Garamond" w:hAnsi="Garamond" w:cs="Garamond"/>
          <w:sz w:val="20"/>
          <w:szCs w:val="20"/>
        </w:rPr>
        <w:t xml:space="preserve">et finkéenne, c’est-à-dire en employant le vocabulaire de </w:t>
      </w:r>
      <w:r w:rsidRPr="00925CED">
        <w:rPr>
          <w:rFonts w:ascii="Garamond" w:hAnsi="Garamond" w:cs="Garamond"/>
          <w:i/>
          <w:iCs/>
          <w:sz w:val="20"/>
          <w:szCs w:val="20"/>
        </w:rPr>
        <w:t xml:space="preserve">l’être </w:t>
      </w:r>
      <w:r w:rsidRPr="00925CED">
        <w:rPr>
          <w:rFonts w:ascii="Garamond" w:hAnsi="Garamond" w:cs="Garamond"/>
          <w:sz w:val="20"/>
          <w:szCs w:val="20"/>
        </w:rPr>
        <w:t>(qui voit son sens se</w:t>
      </w:r>
      <w:r>
        <w:rPr>
          <w:rFonts w:ascii="Garamond" w:hAnsi="Garamond" w:cs="Garamond"/>
          <w:sz w:val="20"/>
          <w:szCs w:val="20"/>
        </w:rPr>
        <w:t xml:space="preserve"> </w:t>
      </w:r>
      <w:r w:rsidRPr="00925CED">
        <w:rPr>
          <w:rFonts w:ascii="Garamond" w:hAnsi="Garamond" w:cs="Garamond"/>
          <w:sz w:val="20"/>
          <w:szCs w:val="20"/>
        </w:rPr>
        <w:t>dédoubler en un premier, de délimitation, et un, secondaire, de dévoilement dans l’apparaître-à-moi), cette différence apparaît dans l’autre grande synthèse des positions phénoménologiques</w:t>
      </w:r>
      <w:r>
        <w:rPr>
          <w:rFonts w:ascii="Garamond" w:hAnsi="Garamond" w:cs="Garamond"/>
          <w:sz w:val="20"/>
          <w:szCs w:val="20"/>
        </w:rPr>
        <w:t xml:space="preserve"> </w:t>
      </w:r>
      <w:r w:rsidRPr="00925CED">
        <w:rPr>
          <w:rFonts w:ascii="Garamond" w:hAnsi="Garamond" w:cs="Garamond"/>
          <w:sz w:val="20"/>
          <w:szCs w:val="20"/>
        </w:rPr>
        <w:t xml:space="preserve">de </w:t>
      </w:r>
      <w:r w:rsidR="008666B8">
        <w:rPr>
          <w:rFonts w:ascii="Garamond" w:hAnsi="Garamond" w:cs="Garamond"/>
          <w:sz w:val="20"/>
          <w:szCs w:val="20"/>
        </w:rPr>
        <w:t>Patoč</w:t>
      </w:r>
      <w:r w:rsidR="008666B8" w:rsidRPr="00925CED">
        <w:rPr>
          <w:rFonts w:ascii="Garamond" w:hAnsi="Garamond" w:cs="Garamond"/>
          <w:sz w:val="20"/>
          <w:szCs w:val="20"/>
        </w:rPr>
        <w:t>ka</w:t>
      </w:r>
      <w:r w:rsidR="008666B8" w:rsidRPr="00925CED">
        <w:rPr>
          <w:rFonts w:ascii="Garamond" w:hAnsi="Garamond" w:cs="Garamond"/>
          <w:sz w:val="20"/>
          <w:szCs w:val="20"/>
        </w:rPr>
        <w:t xml:space="preserve"> </w:t>
      </w:r>
      <w:r w:rsidRPr="00925CED">
        <w:rPr>
          <w:rFonts w:ascii="Garamond" w:hAnsi="Garamond" w:cs="Garamond"/>
          <w:sz w:val="20"/>
          <w:szCs w:val="20"/>
        </w:rPr>
        <w:t>de la fin des années soixante : les notes préparatoires du cours</w:t>
      </w:r>
      <w:r>
        <w:rPr>
          <w:rFonts w:ascii="Garamond" w:hAnsi="Garamond" w:cs="Garamond"/>
          <w:sz w:val="20"/>
          <w:szCs w:val="20"/>
        </w:rPr>
        <w:t xml:space="preserve"> </w:t>
      </w:r>
      <w:r w:rsidRPr="00925CED">
        <w:rPr>
          <w:rFonts w:ascii="Garamond" w:hAnsi="Garamond" w:cs="Garamond"/>
          <w:sz w:val="20"/>
          <w:szCs w:val="20"/>
        </w:rPr>
        <w:t>de 1968-1969, « [Leçons sur la corporéité] » (les passages clés sont à trouver p. 115-116).</w:t>
      </w:r>
      <w:r>
        <w:rPr>
          <w:rFonts w:ascii="Garamond" w:hAnsi="Garamond" w:cs="Garamond"/>
          <w:sz w:val="20"/>
          <w:szCs w:val="20"/>
        </w:rPr>
        <w:t xml:space="preserve"> </w:t>
      </w:r>
      <w:r w:rsidRPr="00925CED">
        <w:rPr>
          <w:rFonts w:ascii="Garamond" w:hAnsi="Garamond" w:cs="Garamond"/>
          <w:sz w:val="20"/>
          <w:szCs w:val="20"/>
        </w:rPr>
        <w:t>La différence ressurgit, selon une inspiration finkéenne, dans le texte de 1972, « Le tout</w:t>
      </w:r>
      <w:r>
        <w:rPr>
          <w:rFonts w:ascii="Garamond" w:hAnsi="Garamond" w:cs="Garamond"/>
          <w:sz w:val="20"/>
          <w:szCs w:val="20"/>
        </w:rPr>
        <w:t xml:space="preserve"> </w:t>
      </w:r>
      <w:r w:rsidRPr="00925CED">
        <w:rPr>
          <w:rFonts w:ascii="Garamond" w:hAnsi="Garamond" w:cs="Garamond"/>
          <w:sz w:val="20"/>
          <w:szCs w:val="20"/>
        </w:rPr>
        <w:t>du monde et le monde de l’homme » – ainsi que dans le très dense fragment « Ad Sein</w:t>
      </w:r>
    </w:p>
    <w:p w:rsidR="00925CED" w:rsidRDefault="00925CED" w:rsidP="00925CED">
      <w:pPr>
        <w:spacing w:after="0" w:line="240" w:lineRule="auto"/>
        <w:jc w:val="both"/>
      </w:pPr>
      <w:proofErr w:type="spellStart"/>
      <w:proofErr w:type="gramStart"/>
      <w:r w:rsidRPr="00925CED">
        <w:rPr>
          <w:rFonts w:ascii="Garamond" w:hAnsi="Garamond" w:cs="Garamond"/>
          <w:sz w:val="20"/>
          <w:szCs w:val="20"/>
        </w:rPr>
        <w:t>und</w:t>
      </w:r>
      <w:proofErr w:type="spellEnd"/>
      <w:proofErr w:type="gramEnd"/>
      <w:r w:rsidRPr="00925CED">
        <w:rPr>
          <w:rFonts w:ascii="Garamond" w:hAnsi="Garamond" w:cs="Garamond"/>
          <w:sz w:val="20"/>
          <w:szCs w:val="20"/>
        </w:rPr>
        <w:t xml:space="preserve"> </w:t>
      </w:r>
      <w:proofErr w:type="spellStart"/>
      <w:r w:rsidRPr="00925CED">
        <w:rPr>
          <w:rFonts w:ascii="Garamond" w:hAnsi="Garamond" w:cs="Garamond"/>
          <w:sz w:val="20"/>
          <w:szCs w:val="20"/>
        </w:rPr>
        <w:t>Zeit</w:t>
      </w:r>
      <w:proofErr w:type="spellEnd"/>
      <w:r w:rsidRPr="00925CED">
        <w:rPr>
          <w:rFonts w:ascii="Garamond" w:hAnsi="Garamond" w:cs="Garamond"/>
          <w:sz w:val="20"/>
          <w:szCs w:val="20"/>
        </w:rPr>
        <w:t xml:space="preserve"> » – où </w:t>
      </w:r>
      <w:r w:rsidR="008666B8">
        <w:rPr>
          <w:rFonts w:ascii="Garamond" w:hAnsi="Garamond" w:cs="Garamond"/>
          <w:sz w:val="20"/>
          <w:szCs w:val="20"/>
        </w:rPr>
        <w:t>Patoč</w:t>
      </w:r>
      <w:r w:rsidR="008666B8" w:rsidRPr="00925CED">
        <w:rPr>
          <w:rFonts w:ascii="Garamond" w:hAnsi="Garamond" w:cs="Garamond"/>
          <w:sz w:val="20"/>
          <w:szCs w:val="20"/>
        </w:rPr>
        <w:t>ka</w:t>
      </w:r>
      <w:r w:rsidRPr="00925CED">
        <w:rPr>
          <w:rFonts w:ascii="Garamond" w:hAnsi="Garamond" w:cs="Garamond"/>
          <w:sz w:val="20"/>
          <w:szCs w:val="20"/>
        </w:rPr>
        <w:t xml:space="preserve"> oppose à l’« apparaître-à-moi » « le tout du monde » (in </w:t>
      </w:r>
      <w:r w:rsidRPr="00925CED">
        <w:rPr>
          <w:rFonts w:ascii="Garamond" w:hAnsi="Garamond" w:cs="Garamond"/>
          <w:i/>
          <w:iCs/>
          <w:sz w:val="20"/>
          <w:szCs w:val="20"/>
        </w:rPr>
        <w:t>Le monde</w:t>
      </w:r>
      <w:r>
        <w:rPr>
          <w:rFonts w:ascii="Garamond" w:hAnsi="Garamond" w:cs="Garamond"/>
          <w:i/>
          <w:iCs/>
          <w:sz w:val="20"/>
          <w:szCs w:val="20"/>
        </w:rPr>
        <w:t xml:space="preserve"> </w:t>
      </w:r>
      <w:r w:rsidRPr="00925CED">
        <w:rPr>
          <w:rFonts w:ascii="Garamond" w:hAnsi="Garamond" w:cs="Garamond"/>
          <w:i/>
          <w:iCs/>
          <w:sz w:val="20"/>
          <w:szCs w:val="20"/>
        </w:rPr>
        <w:t>naturel et le mouvement…</w:t>
      </w:r>
      <w:r w:rsidRPr="00925CED">
        <w:rPr>
          <w:rFonts w:ascii="Garamond" w:hAnsi="Garamond" w:cs="Garamond"/>
          <w:sz w:val="20"/>
          <w:szCs w:val="20"/>
        </w:rPr>
        <w:t>, p. 268) ou la « totalité omni-englobante de l’ajointement du</w:t>
      </w:r>
      <w:r>
        <w:rPr>
          <w:rFonts w:ascii="Garamond" w:hAnsi="Garamond" w:cs="Garamond"/>
          <w:sz w:val="20"/>
          <w:szCs w:val="20"/>
        </w:rPr>
        <w:t xml:space="preserve"> </w:t>
      </w:r>
      <w:r w:rsidRPr="00925CED">
        <w:rPr>
          <w:rFonts w:ascii="Garamond" w:hAnsi="Garamond" w:cs="Garamond"/>
          <w:sz w:val="20"/>
          <w:szCs w:val="20"/>
        </w:rPr>
        <w:t>monde » (</w:t>
      </w:r>
      <w:r w:rsidRPr="00925CED">
        <w:rPr>
          <w:rFonts w:ascii="Garamond" w:hAnsi="Garamond" w:cs="Garamond"/>
          <w:i/>
          <w:iCs/>
          <w:sz w:val="20"/>
          <w:szCs w:val="20"/>
        </w:rPr>
        <w:t>ibid.</w:t>
      </w:r>
      <w:r w:rsidRPr="00925CED">
        <w:rPr>
          <w:rFonts w:ascii="Garamond" w:hAnsi="Garamond" w:cs="Garamond"/>
          <w:sz w:val="20"/>
          <w:szCs w:val="20"/>
        </w:rPr>
        <w:t>, p. 267). Penser une même différence dans des lexiques bien différents</w:t>
      </w:r>
      <w:r>
        <w:rPr>
          <w:rFonts w:ascii="Garamond" w:hAnsi="Garamond" w:cs="Garamond"/>
          <w:sz w:val="20"/>
          <w:szCs w:val="20"/>
        </w:rPr>
        <w:t xml:space="preserve"> </w:t>
      </w:r>
      <w:r w:rsidRPr="00925CED">
        <w:rPr>
          <w:rFonts w:ascii="Garamond" w:hAnsi="Garamond" w:cs="Garamond"/>
          <w:sz w:val="20"/>
          <w:szCs w:val="20"/>
        </w:rPr>
        <w:t>témoigne, significativement, de l’effort p</w:t>
      </w:r>
      <w:r w:rsidR="008666B8">
        <w:rPr>
          <w:rFonts w:ascii="Garamond" w:hAnsi="Garamond" w:cs="Garamond"/>
          <w:sz w:val="20"/>
          <w:szCs w:val="20"/>
        </w:rPr>
        <w:t>atoč</w:t>
      </w:r>
      <w:r w:rsidR="008666B8">
        <w:rPr>
          <w:rFonts w:ascii="Garamond" w:hAnsi="Garamond" w:cs="Garamond"/>
          <w:sz w:val="20"/>
          <w:szCs w:val="20"/>
        </w:rPr>
        <w:t xml:space="preserve">kien </w:t>
      </w:r>
      <w:r w:rsidRPr="00925CED">
        <w:rPr>
          <w:rFonts w:ascii="Garamond" w:hAnsi="Garamond" w:cs="Garamond"/>
          <w:sz w:val="20"/>
          <w:szCs w:val="20"/>
        </w:rPr>
        <w:t>d’unification de la phénoménologie, et</w:t>
      </w:r>
      <w:r w:rsidR="008666B8">
        <w:rPr>
          <w:rFonts w:ascii="Garamond" w:hAnsi="Garamond" w:cs="Garamond"/>
          <w:sz w:val="20"/>
          <w:szCs w:val="20"/>
        </w:rPr>
        <w:t xml:space="preserve"> </w:t>
      </w:r>
      <w:r w:rsidRPr="00925CED">
        <w:rPr>
          <w:rFonts w:ascii="Garamond" w:hAnsi="Garamond" w:cs="Garamond"/>
          <w:sz w:val="20"/>
          <w:szCs w:val="20"/>
        </w:rPr>
        <w:t>les équivalences que nous pouvons ainsi identifier (« être comme délimitation », « manifestation</w:t>
      </w:r>
      <w:r>
        <w:rPr>
          <w:rFonts w:ascii="Garamond" w:hAnsi="Garamond" w:cs="Garamond"/>
          <w:sz w:val="20"/>
          <w:szCs w:val="20"/>
        </w:rPr>
        <w:t xml:space="preserve"> </w:t>
      </w:r>
      <w:r w:rsidR="008666B8">
        <w:rPr>
          <w:rFonts w:ascii="Garamond" w:hAnsi="Garamond" w:cs="Garamond"/>
          <w:sz w:val="20"/>
          <w:szCs w:val="20"/>
        </w:rPr>
        <w:t>» au premier sens, « </w:t>
      </w:r>
      <w:r w:rsidRPr="00925CED">
        <w:rPr>
          <w:rFonts w:ascii="Garamond" w:hAnsi="Garamond" w:cs="Garamond"/>
          <w:sz w:val="20"/>
          <w:szCs w:val="20"/>
        </w:rPr>
        <w:t>individuation des étants », « ouverture primordiale, physique,</w:t>
      </w:r>
      <w:r w:rsidR="008666B8">
        <w:rPr>
          <w:rFonts w:ascii="Garamond" w:hAnsi="Garamond" w:cs="Garamond"/>
          <w:sz w:val="20"/>
          <w:szCs w:val="20"/>
        </w:rPr>
        <w:t xml:space="preserve"> </w:t>
      </w:r>
      <w:r w:rsidRPr="00925CED">
        <w:rPr>
          <w:rFonts w:ascii="Garamond" w:hAnsi="Garamond" w:cs="Garamond"/>
          <w:sz w:val="20"/>
          <w:szCs w:val="20"/>
        </w:rPr>
        <w:t xml:space="preserve">de l’étant ») sont à la fois éclairantes et exigent d’être prises au </w:t>
      </w:r>
      <w:proofErr w:type="gramStart"/>
      <w:r w:rsidRPr="00925CED">
        <w:rPr>
          <w:rFonts w:ascii="Garamond" w:hAnsi="Garamond" w:cs="Garamond"/>
          <w:sz w:val="20"/>
          <w:szCs w:val="20"/>
        </w:rPr>
        <w:t>sérieux.</w:t>
      </w:r>
      <w:r w:rsidRPr="00574BEB">
        <w:rPr>
          <w:rFonts w:ascii="Garamond" w:hAnsi="Garamond" w:cs="Garamond"/>
          <w:sz w:val="20"/>
          <w:szCs w:val="20"/>
        </w:rPr>
        <w:t>.</w:t>
      </w:r>
      <w:proofErr w:type="gramEnd"/>
    </w:p>
  </w:footnote>
  <w:footnote w:id="9">
    <w:p w:rsidR="00925CED" w:rsidRDefault="00925CED" w:rsidP="00925CED">
      <w:pPr>
        <w:spacing w:after="0" w:line="240" w:lineRule="auto"/>
        <w:jc w:val="both"/>
      </w:pPr>
      <w:r>
        <w:rPr>
          <w:rStyle w:val="Caractresdenotedebasdepage"/>
        </w:rPr>
        <w:footnoteRef/>
      </w:r>
      <w:r w:rsidRPr="00574BEB">
        <w:rPr>
          <w:rFonts w:ascii="Garamond" w:eastAsia="Garamond" w:hAnsi="Garamond" w:cs="Garamond"/>
          <w:sz w:val="20"/>
          <w:szCs w:val="20"/>
        </w:rPr>
        <w:t xml:space="preserve"> </w:t>
      </w:r>
      <w:r w:rsidRPr="00574BEB">
        <w:rPr>
          <w:rFonts w:ascii="Garamond" w:hAnsi="Garamond" w:cs="Garamond"/>
          <w:sz w:val="20"/>
          <w:szCs w:val="20"/>
        </w:rPr>
        <w:t>MNMEH, p. 100.</w:t>
      </w:r>
    </w:p>
  </w:footnote>
  <w:footnote w:id="10">
    <w:p w:rsidR="00925CED" w:rsidRPr="00925CED" w:rsidRDefault="00925CED" w:rsidP="00925CED">
      <w:pPr>
        <w:spacing w:after="0" w:line="240" w:lineRule="auto"/>
        <w:jc w:val="both"/>
      </w:pPr>
      <w:r>
        <w:rPr>
          <w:rStyle w:val="Caractresdenotedebasdepage"/>
        </w:rPr>
        <w:footnoteRef/>
      </w:r>
      <w:r w:rsidRPr="00925CED">
        <w:rPr>
          <w:rFonts w:ascii="Garamond" w:eastAsia="Garamond" w:hAnsi="Garamond" w:cs="Garamond"/>
          <w:sz w:val="20"/>
          <w:szCs w:val="20"/>
        </w:rPr>
        <w:t xml:space="preserve"> </w:t>
      </w:r>
      <w:r w:rsidRPr="00925CED">
        <w:rPr>
          <w:rFonts w:ascii="Garamond" w:hAnsi="Garamond" w:cs="Garamond"/>
          <w:sz w:val="20"/>
          <w:szCs w:val="20"/>
        </w:rPr>
        <w:t>MNMEH, p. 132.</w:t>
      </w:r>
    </w:p>
  </w:footnote>
  <w:footnote w:id="11">
    <w:p w:rsidR="00925CED" w:rsidRDefault="00925CED" w:rsidP="00925CED">
      <w:pPr>
        <w:spacing w:after="0" w:line="240" w:lineRule="auto"/>
        <w:jc w:val="both"/>
      </w:pPr>
      <w:r>
        <w:rPr>
          <w:rStyle w:val="Caractresdenotedebasdepage"/>
        </w:rPr>
        <w:footnoteRef/>
      </w:r>
      <w:r>
        <w:rPr>
          <w:rFonts w:ascii="Garamond" w:eastAsia="Garamond" w:hAnsi="Garamond" w:cs="Garamond"/>
          <w:sz w:val="20"/>
          <w:szCs w:val="20"/>
        </w:rPr>
        <w:t xml:space="preserve">  </w:t>
      </w:r>
      <w:r>
        <w:rPr>
          <w:rFonts w:ascii="Garamond" w:hAnsi="Garamond" w:cs="Garamond"/>
          <w:sz w:val="20"/>
          <w:szCs w:val="20"/>
        </w:rPr>
        <w:t>PP, p. 195.</w:t>
      </w:r>
    </w:p>
  </w:footnote>
  <w:footnote w:id="12">
    <w:p w:rsidR="00925CED" w:rsidRDefault="00925CED" w:rsidP="00925CED">
      <w:pPr>
        <w:spacing w:after="0" w:line="240" w:lineRule="auto"/>
        <w:jc w:val="both"/>
      </w:pPr>
      <w:r>
        <w:rPr>
          <w:rStyle w:val="Caractresdenotedebasdepage"/>
        </w:rPr>
        <w:footnoteRef/>
      </w:r>
      <w:r>
        <w:rPr>
          <w:rFonts w:ascii="Garamond" w:eastAsia="Garamond" w:hAnsi="Garamond" w:cs="Garamond"/>
          <w:sz w:val="20"/>
          <w:szCs w:val="20"/>
        </w:rPr>
        <w:t xml:space="preserve">  </w:t>
      </w:r>
      <w:r>
        <w:rPr>
          <w:rFonts w:ascii="Garamond" w:hAnsi="Garamond" w:cs="Garamond"/>
          <w:sz w:val="20"/>
          <w:szCs w:val="20"/>
        </w:rPr>
        <w:t>MNMEH, p. 271.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FE"/>
    <w:rsid w:val="004E4D2E"/>
    <w:rsid w:val="007476FE"/>
    <w:rsid w:val="008666B8"/>
    <w:rsid w:val="00925CED"/>
    <w:rsid w:val="00AE469D"/>
    <w:rsid w:val="00B63749"/>
    <w:rsid w:val="00EF2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AC9C"/>
  <w15:chartTrackingRefBased/>
  <w15:docId w15:val="{A3AA91F2-EA6E-407A-9992-F44518BC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ED"/>
    <w:pPr>
      <w:suppressAutoHyphens/>
      <w:spacing w:line="252" w:lineRule="auto"/>
    </w:pPr>
    <w:rPr>
      <w:rFonts w:ascii="Calibri" w:eastAsia="SimSun" w:hAnsi="Calibri" w:cs="Calibri"/>
      <w:lang w:eastAsia="zh-CN"/>
    </w:rPr>
  </w:style>
  <w:style w:type="paragraph" w:styleId="Titre2">
    <w:name w:val="heading 2"/>
    <w:basedOn w:val="Normal"/>
    <w:next w:val="Normal"/>
    <w:link w:val="Titre2Car"/>
    <w:qFormat/>
    <w:rsid w:val="00B63749"/>
    <w:pPr>
      <w:keepNext/>
      <w:spacing w:before="360" w:after="240" w:line="240" w:lineRule="auto"/>
      <w:ind w:firstLine="142"/>
      <w:jc w:val="center"/>
      <w:outlineLvl w:val="1"/>
    </w:pPr>
    <w:rPr>
      <w:rFonts w:ascii="Garamond" w:hAnsi="Garamond"/>
      <w:b/>
      <w:noProof/>
      <w:sz w:val="28"/>
    </w:rPr>
  </w:style>
  <w:style w:type="paragraph" w:styleId="Titre3">
    <w:name w:val="heading 3"/>
    <w:basedOn w:val="Normal"/>
    <w:next w:val="Normal"/>
    <w:link w:val="Titre3Car"/>
    <w:qFormat/>
    <w:rsid w:val="00B63749"/>
    <w:pPr>
      <w:keepNext/>
      <w:spacing w:after="0" w:line="240" w:lineRule="auto"/>
      <w:ind w:firstLine="142"/>
      <w:outlineLvl w:val="2"/>
    </w:pPr>
    <w:rPr>
      <w:rFonts w:ascii="Garamond" w:hAnsi="Garamond"/>
      <w:noProof/>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B63749"/>
    <w:rPr>
      <w:rFonts w:ascii="Garamond" w:hAnsi="Garamond"/>
      <w:b/>
      <w:noProof/>
      <w:sz w:val="28"/>
    </w:rPr>
  </w:style>
  <w:style w:type="character" w:customStyle="1" w:styleId="Titre3Car">
    <w:name w:val="Titre 3 Car"/>
    <w:link w:val="Titre3"/>
    <w:rsid w:val="00B63749"/>
    <w:rPr>
      <w:rFonts w:ascii="Garamond" w:hAnsi="Garamond"/>
      <w:noProof/>
      <w:sz w:val="28"/>
    </w:rPr>
  </w:style>
  <w:style w:type="paragraph" w:styleId="Titre">
    <w:name w:val="Title"/>
    <w:basedOn w:val="Normal"/>
    <w:next w:val="Normal"/>
    <w:link w:val="TitreCar"/>
    <w:uiPriority w:val="10"/>
    <w:qFormat/>
    <w:rsid w:val="00AE469D"/>
    <w:pPr>
      <w:spacing w:before="120" w:after="120" w:line="240" w:lineRule="auto"/>
      <w:contextualSpacing/>
      <w:jc w:val="center"/>
    </w:pPr>
    <w:rPr>
      <w:rFonts w:ascii="Garamond" w:eastAsiaTheme="majorEastAsia" w:hAnsi="Garamond" w:cstheme="majorBidi"/>
      <w:b/>
      <w:spacing w:val="-10"/>
      <w:kern w:val="28"/>
      <w:szCs w:val="56"/>
      <w:lang w:eastAsia="fr-FR"/>
    </w:rPr>
  </w:style>
  <w:style w:type="character" w:customStyle="1" w:styleId="TitreCar">
    <w:name w:val="Titre Car"/>
    <w:basedOn w:val="Policepardfaut"/>
    <w:link w:val="Titre"/>
    <w:uiPriority w:val="10"/>
    <w:rsid w:val="00AE469D"/>
    <w:rPr>
      <w:rFonts w:ascii="Garamond" w:eastAsiaTheme="majorEastAsia" w:hAnsi="Garamond" w:cstheme="majorBidi"/>
      <w:b/>
      <w:spacing w:val="-10"/>
      <w:kern w:val="28"/>
      <w:szCs w:val="56"/>
      <w:lang w:eastAsia="fr-FR"/>
    </w:rPr>
  </w:style>
  <w:style w:type="paragraph" w:styleId="Sous-titre">
    <w:name w:val="Subtitle"/>
    <w:basedOn w:val="Normal"/>
    <w:next w:val="Normal"/>
    <w:link w:val="Sous-titreCar"/>
    <w:uiPriority w:val="11"/>
    <w:qFormat/>
    <w:rsid w:val="00AE469D"/>
    <w:pPr>
      <w:numPr>
        <w:ilvl w:val="1"/>
      </w:numPr>
      <w:spacing w:before="120" w:after="120" w:line="240" w:lineRule="auto"/>
    </w:pPr>
    <w:rPr>
      <w:rFonts w:ascii="Garamond" w:hAnsi="Garamond"/>
      <w:i/>
      <w:spacing w:val="15"/>
      <w:lang w:eastAsia="fr-FR"/>
    </w:rPr>
  </w:style>
  <w:style w:type="character" w:customStyle="1" w:styleId="Sous-titreCar">
    <w:name w:val="Sous-titre Car"/>
    <w:basedOn w:val="Policepardfaut"/>
    <w:link w:val="Sous-titre"/>
    <w:uiPriority w:val="11"/>
    <w:rsid w:val="00AE469D"/>
    <w:rPr>
      <w:rFonts w:ascii="Garamond" w:hAnsi="Garamond"/>
      <w:i/>
      <w:spacing w:val="15"/>
      <w:lang w:eastAsia="fr-FR"/>
    </w:rPr>
  </w:style>
  <w:style w:type="character" w:customStyle="1" w:styleId="Caractresdenotedebasdepage">
    <w:name w:val="Caractères de note de bas de page"/>
    <w:qFormat/>
    <w:rsid w:val="00925CED"/>
    <w:rPr>
      <w:vertAlign w:val="superscript"/>
    </w:rPr>
  </w:style>
  <w:style w:type="character" w:customStyle="1" w:styleId="Ancredenotedebasdepage">
    <w:name w:val="Ancre de note de bas de page"/>
    <w:rsid w:val="00925CED"/>
    <w:rPr>
      <w:vertAlign w:val="superscript"/>
    </w:rPr>
  </w:style>
  <w:style w:type="paragraph" w:customStyle="1" w:styleId="Paragraphedeliste1">
    <w:name w:val="Paragraphe de liste1"/>
    <w:basedOn w:val="Normal"/>
    <w:qFormat/>
    <w:rsid w:val="00925CED"/>
    <w:pPr>
      <w:ind w:left="720"/>
    </w:pPr>
  </w:style>
  <w:style w:type="paragraph" w:styleId="Notedebasdepage">
    <w:name w:val="footnote text"/>
    <w:basedOn w:val="Normal"/>
    <w:link w:val="NotedebasdepageCar"/>
    <w:rsid w:val="00925CED"/>
    <w:pPr>
      <w:suppressLineNumbers/>
      <w:ind w:left="283" w:hanging="283"/>
    </w:pPr>
    <w:rPr>
      <w:sz w:val="20"/>
      <w:szCs w:val="20"/>
    </w:rPr>
  </w:style>
  <w:style w:type="character" w:customStyle="1" w:styleId="NotedebasdepageCar">
    <w:name w:val="Note de bas de page Car"/>
    <w:basedOn w:val="Policepardfaut"/>
    <w:link w:val="Notedebasdepage"/>
    <w:rsid w:val="00925CED"/>
    <w:rPr>
      <w:rFonts w:ascii="Calibri" w:eastAsia="SimSun" w:hAnsi="Calibri" w:cs="Calibri"/>
      <w:sz w:val="20"/>
      <w:szCs w:val="20"/>
      <w:lang w:eastAsia="zh-CN"/>
    </w:rPr>
  </w:style>
  <w:style w:type="character" w:styleId="Appelnotedebasdep">
    <w:name w:val="footnote reference"/>
    <w:basedOn w:val="Policepardfaut"/>
    <w:uiPriority w:val="99"/>
    <w:semiHidden/>
    <w:unhideWhenUsed/>
    <w:rsid w:val="00925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1039</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Institut Catholique de Toulouse</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DUICU</dc:creator>
  <cp:keywords/>
  <dc:description/>
  <cp:lastModifiedBy>Dragos DUICU</cp:lastModifiedBy>
  <cp:revision>2</cp:revision>
  <dcterms:created xsi:type="dcterms:W3CDTF">2022-12-02T13:46:00Z</dcterms:created>
  <dcterms:modified xsi:type="dcterms:W3CDTF">2022-12-02T13:59:00Z</dcterms:modified>
</cp:coreProperties>
</file>