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DAD1F" w14:textId="77777777" w:rsidR="00324B82" w:rsidRPr="009D57F6" w:rsidRDefault="00324B82" w:rsidP="00324B82">
      <w:pPr>
        <w:shd w:val="clear" w:color="auto" w:fill="FFFFFF"/>
        <w:spacing w:line="360" w:lineRule="auto"/>
        <w:jc w:val="both"/>
        <w:textAlignment w:val="baseline"/>
        <w:rPr>
          <w:rFonts w:ascii="Garamond" w:hAnsi="Garamond"/>
          <w:color w:val="201F1E"/>
          <w:sz w:val="26"/>
          <w:szCs w:val="26"/>
          <w:lang w:bidi="ar-SA"/>
        </w:rPr>
      </w:pPr>
      <w:r w:rsidRPr="009D57F6">
        <w:rPr>
          <w:rFonts w:ascii="Garamond" w:hAnsi="Garamond"/>
          <w:color w:val="201F1E"/>
          <w:sz w:val="26"/>
          <w:szCs w:val="26"/>
          <w:lang w:bidi="ar-SA"/>
        </w:rPr>
        <w:t>Materiali:</w:t>
      </w:r>
    </w:p>
    <w:p w14:paraId="39171F61" w14:textId="77777777" w:rsidR="00324B82" w:rsidRDefault="00324B82" w:rsidP="00324B82">
      <w:pPr>
        <w:shd w:val="clear" w:color="auto" w:fill="FFFFFF"/>
        <w:spacing w:line="360" w:lineRule="auto"/>
        <w:jc w:val="both"/>
        <w:textAlignment w:val="baseline"/>
        <w:rPr>
          <w:rFonts w:ascii="Garamond" w:hAnsi="Garamond"/>
          <w:sz w:val="26"/>
          <w:szCs w:val="26"/>
        </w:rPr>
      </w:pPr>
    </w:p>
    <w:p w14:paraId="471BB105" w14:textId="77777777" w:rsidR="00324B82" w:rsidRPr="004961E3" w:rsidRDefault="00324B82" w:rsidP="00324B82">
      <w:pPr>
        <w:jc w:val="both"/>
        <w:rPr>
          <w:color w:val="0563C1" w:themeColor="hyperlink"/>
          <w:sz w:val="24"/>
          <w:szCs w:val="24"/>
          <w:u w:val="single"/>
        </w:rPr>
      </w:pPr>
      <w:r w:rsidRPr="004961E3">
        <w:rPr>
          <w:smallCaps/>
          <w:sz w:val="24"/>
          <w:szCs w:val="24"/>
        </w:rPr>
        <w:t xml:space="preserve">Accettura B., Brocca M., </w:t>
      </w:r>
      <w:proofErr w:type="spellStart"/>
      <w:r w:rsidRPr="004961E3">
        <w:rPr>
          <w:smallCaps/>
          <w:sz w:val="24"/>
          <w:szCs w:val="24"/>
        </w:rPr>
        <w:t>Tuccari</w:t>
      </w:r>
      <w:proofErr w:type="spellEnd"/>
      <w:r w:rsidRPr="004961E3">
        <w:rPr>
          <w:smallCaps/>
          <w:sz w:val="24"/>
          <w:szCs w:val="24"/>
        </w:rPr>
        <w:t xml:space="preserve"> F.F</w:t>
      </w:r>
      <w:r w:rsidRPr="004961E3">
        <w:rPr>
          <w:sz w:val="24"/>
          <w:szCs w:val="24"/>
        </w:rPr>
        <w:t xml:space="preserve">., </w:t>
      </w:r>
      <w:r w:rsidRPr="004961E3">
        <w:rPr>
          <w:i/>
          <w:iCs/>
          <w:sz w:val="24"/>
          <w:szCs w:val="24"/>
        </w:rPr>
        <w:t>Turismo sostenibile e politiche territoriali. Profili giuridici</w:t>
      </w:r>
      <w:r w:rsidRPr="004961E3">
        <w:rPr>
          <w:sz w:val="24"/>
          <w:szCs w:val="24"/>
        </w:rPr>
        <w:t xml:space="preserve">, </w:t>
      </w:r>
      <w:hyperlink r:id="rId4" w:history="1">
        <w:r w:rsidRPr="004961E3">
          <w:rPr>
            <w:color w:val="0563C1" w:themeColor="hyperlink"/>
            <w:sz w:val="24"/>
            <w:szCs w:val="24"/>
            <w:u w:val="single"/>
          </w:rPr>
          <w:t>https://www.ambientediritto.it/dottrina/turismo-sostenibile-e-politiche-territoriali-profili-giuridici/</w:t>
        </w:r>
      </w:hyperlink>
    </w:p>
    <w:p w14:paraId="0C62D786" w14:textId="77777777" w:rsidR="00324B82" w:rsidRPr="009D57F6" w:rsidRDefault="00324B82" w:rsidP="00324B82">
      <w:pPr>
        <w:shd w:val="clear" w:color="auto" w:fill="FFFFFF"/>
        <w:spacing w:line="360" w:lineRule="auto"/>
        <w:jc w:val="both"/>
        <w:textAlignment w:val="baseline"/>
        <w:rPr>
          <w:rFonts w:ascii="Garamond" w:hAnsi="Garamond"/>
          <w:sz w:val="26"/>
          <w:szCs w:val="26"/>
        </w:rPr>
      </w:pPr>
      <w:hyperlink r:id="rId5" w:history="1">
        <w:r w:rsidRPr="009D57F6">
          <w:rPr>
            <w:rFonts w:ascii="Garamond" w:hAnsi="Garamond"/>
            <w:smallCaps/>
            <w:sz w:val="26"/>
            <w:szCs w:val="26"/>
          </w:rPr>
          <w:t>Amorosino S</w:t>
        </w:r>
        <w:r w:rsidRPr="009D57F6">
          <w:rPr>
            <w:rFonts w:ascii="Garamond" w:hAnsi="Garamond"/>
            <w:sz w:val="26"/>
            <w:szCs w:val="26"/>
          </w:rPr>
          <w:t xml:space="preserve">., </w:t>
        </w:r>
        <w:r w:rsidRPr="009D57F6">
          <w:rPr>
            <w:rFonts w:ascii="Garamond" w:hAnsi="Garamond"/>
            <w:i/>
            <w:sz w:val="26"/>
            <w:szCs w:val="26"/>
          </w:rPr>
          <w:t xml:space="preserve">Gli itinerari turistico-culturali </w:t>
        </w:r>
        <w:r w:rsidRPr="009D57F6">
          <w:rPr>
            <w:rFonts w:ascii="Garamond" w:hAnsi="Garamond"/>
            <w:sz w:val="26"/>
            <w:szCs w:val="26"/>
          </w:rPr>
          <w:t>(mulino.it)</w:t>
        </w:r>
      </w:hyperlink>
      <w:r w:rsidRPr="009D57F6">
        <w:rPr>
          <w:rFonts w:ascii="Garamond" w:hAnsi="Garamond"/>
          <w:sz w:val="26"/>
          <w:szCs w:val="26"/>
        </w:rPr>
        <w:t xml:space="preserve"> </w:t>
      </w:r>
      <w:proofErr w:type="spellStart"/>
      <w:r w:rsidRPr="009D57F6">
        <w:rPr>
          <w:rFonts w:ascii="Garamond" w:hAnsi="Garamond"/>
          <w:i/>
          <w:sz w:val="26"/>
          <w:szCs w:val="26"/>
        </w:rPr>
        <w:t>Aedon</w:t>
      </w:r>
      <w:proofErr w:type="spellEnd"/>
      <w:r w:rsidRPr="009D57F6">
        <w:rPr>
          <w:rFonts w:ascii="Garamond" w:hAnsi="Garamond"/>
          <w:i/>
          <w:sz w:val="26"/>
          <w:szCs w:val="26"/>
        </w:rPr>
        <w:t xml:space="preserve"> </w:t>
      </w:r>
      <w:r w:rsidRPr="009D57F6">
        <w:rPr>
          <w:rFonts w:ascii="Garamond" w:hAnsi="Garamond"/>
          <w:sz w:val="26"/>
          <w:szCs w:val="26"/>
        </w:rPr>
        <w:t>3/2000</w:t>
      </w:r>
    </w:p>
    <w:p w14:paraId="46F2E6D4" w14:textId="77777777" w:rsidR="00324B82" w:rsidRPr="009D57F6" w:rsidRDefault="00324B82" w:rsidP="00324B82">
      <w:pPr>
        <w:shd w:val="clear" w:color="auto" w:fill="FFFFFF"/>
        <w:spacing w:line="360" w:lineRule="auto"/>
        <w:jc w:val="both"/>
        <w:textAlignment w:val="baseline"/>
        <w:rPr>
          <w:rFonts w:ascii="Garamond" w:hAnsi="Garamond"/>
          <w:sz w:val="26"/>
          <w:szCs w:val="26"/>
        </w:rPr>
      </w:pPr>
      <w:hyperlink r:id="rId6" w:history="1">
        <w:proofErr w:type="spellStart"/>
        <w:r w:rsidRPr="009D57F6">
          <w:rPr>
            <w:rFonts w:ascii="Garamond" w:hAnsi="Garamond"/>
            <w:smallCaps/>
            <w:sz w:val="26"/>
            <w:szCs w:val="26"/>
          </w:rPr>
          <w:t>Areddu</w:t>
        </w:r>
        <w:proofErr w:type="spellEnd"/>
        <w:r w:rsidRPr="009D57F6">
          <w:rPr>
            <w:rFonts w:ascii="Garamond" w:hAnsi="Garamond"/>
            <w:smallCaps/>
            <w:sz w:val="26"/>
            <w:szCs w:val="26"/>
          </w:rPr>
          <w:t xml:space="preserve"> A</w:t>
        </w:r>
        <w:r w:rsidRPr="009D57F6">
          <w:rPr>
            <w:rFonts w:ascii="Garamond" w:hAnsi="Garamond"/>
            <w:sz w:val="26"/>
            <w:szCs w:val="26"/>
          </w:rPr>
          <w:t xml:space="preserve">., </w:t>
        </w:r>
        <w:r w:rsidRPr="009D57F6">
          <w:rPr>
            <w:rFonts w:ascii="Garamond" w:hAnsi="Garamond"/>
            <w:i/>
            <w:sz w:val="26"/>
            <w:szCs w:val="26"/>
          </w:rPr>
          <w:t>Analisi giuridica degli itinerari culturali</w:t>
        </w:r>
        <w:r w:rsidRPr="009D57F6">
          <w:rPr>
            <w:rFonts w:ascii="Garamond" w:hAnsi="Garamond"/>
            <w:sz w:val="26"/>
            <w:szCs w:val="26"/>
          </w:rPr>
          <w:t xml:space="preserve"> (mulino.it)</w:t>
        </w:r>
      </w:hyperlink>
      <w:r w:rsidRPr="009D57F6">
        <w:rPr>
          <w:rFonts w:ascii="Garamond" w:hAnsi="Garamond"/>
          <w:sz w:val="26"/>
          <w:szCs w:val="26"/>
        </w:rPr>
        <w:t xml:space="preserve"> </w:t>
      </w:r>
      <w:proofErr w:type="spellStart"/>
      <w:r w:rsidRPr="009D57F6">
        <w:rPr>
          <w:rFonts w:ascii="Garamond" w:hAnsi="Garamond"/>
          <w:i/>
          <w:sz w:val="26"/>
          <w:szCs w:val="26"/>
        </w:rPr>
        <w:t>Aedon</w:t>
      </w:r>
      <w:proofErr w:type="spellEnd"/>
      <w:r w:rsidRPr="009D57F6">
        <w:rPr>
          <w:rFonts w:ascii="Garamond" w:hAnsi="Garamond"/>
          <w:i/>
          <w:sz w:val="26"/>
          <w:szCs w:val="26"/>
        </w:rPr>
        <w:t xml:space="preserve"> </w:t>
      </w:r>
      <w:r w:rsidRPr="009D57F6">
        <w:rPr>
          <w:rFonts w:ascii="Garamond" w:hAnsi="Garamond"/>
          <w:sz w:val="26"/>
          <w:szCs w:val="26"/>
        </w:rPr>
        <w:t>1/2020,</w:t>
      </w:r>
    </w:p>
    <w:p w14:paraId="6F8E20DD" w14:textId="77777777" w:rsidR="00324B82" w:rsidRDefault="00324B82" w:rsidP="00324B82">
      <w:pPr>
        <w:shd w:val="clear" w:color="auto" w:fill="FFFFFF"/>
        <w:spacing w:line="360" w:lineRule="auto"/>
        <w:jc w:val="both"/>
        <w:textAlignment w:val="baseline"/>
        <w:rPr>
          <w:rFonts w:ascii="Garamond" w:hAnsi="Garamond"/>
          <w:sz w:val="26"/>
          <w:szCs w:val="26"/>
        </w:rPr>
      </w:pPr>
      <w:hyperlink r:id="rId7" w:history="1">
        <w:proofErr w:type="spellStart"/>
        <w:r w:rsidRPr="009D57F6">
          <w:rPr>
            <w:rFonts w:ascii="Garamond" w:hAnsi="Garamond"/>
            <w:smallCaps/>
            <w:sz w:val="26"/>
            <w:szCs w:val="26"/>
          </w:rPr>
          <w:t>Chizzoniti</w:t>
        </w:r>
        <w:proofErr w:type="spellEnd"/>
        <w:r w:rsidRPr="009D57F6">
          <w:rPr>
            <w:rFonts w:ascii="Garamond" w:hAnsi="Garamond"/>
            <w:smallCaps/>
            <w:sz w:val="26"/>
            <w:szCs w:val="26"/>
          </w:rPr>
          <w:t xml:space="preserve"> A.G</w:t>
        </w:r>
        <w:r w:rsidRPr="009D57F6">
          <w:rPr>
            <w:rFonts w:ascii="Garamond" w:hAnsi="Garamond"/>
            <w:sz w:val="26"/>
            <w:szCs w:val="26"/>
          </w:rPr>
          <w:t xml:space="preserve">., </w:t>
        </w:r>
        <w:r w:rsidRPr="009D57F6">
          <w:rPr>
            <w:rFonts w:ascii="Garamond" w:hAnsi="Garamond"/>
            <w:i/>
            <w:sz w:val="26"/>
            <w:szCs w:val="26"/>
          </w:rPr>
          <w:t xml:space="preserve">Gli itinerari turistico-religiosi giubilari </w:t>
        </w:r>
        <w:r w:rsidRPr="009D57F6">
          <w:rPr>
            <w:rFonts w:ascii="Garamond" w:hAnsi="Garamond"/>
            <w:sz w:val="26"/>
            <w:szCs w:val="26"/>
          </w:rPr>
          <w:t>(mulino.it)</w:t>
        </w:r>
      </w:hyperlink>
      <w:r w:rsidRPr="009D57F6">
        <w:rPr>
          <w:rFonts w:ascii="Garamond" w:hAnsi="Garamond"/>
          <w:sz w:val="26"/>
          <w:szCs w:val="26"/>
        </w:rPr>
        <w:t xml:space="preserve"> </w:t>
      </w:r>
      <w:proofErr w:type="spellStart"/>
      <w:r w:rsidRPr="009D57F6">
        <w:rPr>
          <w:rFonts w:ascii="Garamond" w:hAnsi="Garamond"/>
          <w:sz w:val="26"/>
          <w:szCs w:val="26"/>
        </w:rPr>
        <w:t>Aedon</w:t>
      </w:r>
      <w:proofErr w:type="spellEnd"/>
      <w:r w:rsidRPr="009D57F6">
        <w:rPr>
          <w:rFonts w:ascii="Garamond" w:hAnsi="Garamond"/>
          <w:sz w:val="26"/>
          <w:szCs w:val="26"/>
        </w:rPr>
        <w:t xml:space="preserve"> 1/99</w:t>
      </w:r>
    </w:p>
    <w:p w14:paraId="3A8FB3EC" w14:textId="77777777" w:rsidR="00324B82" w:rsidRPr="009D57F6" w:rsidRDefault="00324B82" w:rsidP="00324B82">
      <w:pPr>
        <w:jc w:val="both"/>
        <w:rPr>
          <w:rFonts w:ascii="Garamond" w:hAnsi="Garamond"/>
          <w:sz w:val="26"/>
          <w:szCs w:val="26"/>
        </w:rPr>
      </w:pPr>
      <w:proofErr w:type="spellStart"/>
      <w:r w:rsidRPr="004961E3">
        <w:rPr>
          <w:smallCaps/>
          <w:sz w:val="24"/>
          <w:szCs w:val="24"/>
        </w:rPr>
        <w:t>Sau</w:t>
      </w:r>
      <w:proofErr w:type="spellEnd"/>
      <w:r w:rsidRPr="004961E3">
        <w:rPr>
          <w:smallCaps/>
          <w:sz w:val="24"/>
          <w:szCs w:val="24"/>
        </w:rPr>
        <w:t xml:space="preserve"> S.</w:t>
      </w:r>
      <w:r w:rsidRPr="004961E3">
        <w:rPr>
          <w:sz w:val="24"/>
          <w:szCs w:val="24"/>
        </w:rPr>
        <w:t xml:space="preserve">, </w:t>
      </w:r>
      <w:r w:rsidRPr="004961E3">
        <w:rPr>
          <w:i/>
          <w:iCs/>
          <w:sz w:val="24"/>
          <w:szCs w:val="24"/>
        </w:rPr>
        <w:t xml:space="preserve">Le frontiere del turismo culturale, </w:t>
      </w:r>
      <w:proofErr w:type="spellStart"/>
      <w:r w:rsidRPr="004961E3">
        <w:rPr>
          <w:i/>
          <w:iCs/>
          <w:sz w:val="24"/>
          <w:szCs w:val="24"/>
        </w:rPr>
        <w:t>Aedon</w:t>
      </w:r>
      <w:proofErr w:type="spellEnd"/>
      <w:r w:rsidRPr="004961E3">
        <w:rPr>
          <w:sz w:val="24"/>
          <w:szCs w:val="24"/>
        </w:rPr>
        <w:t>, 1, 2020.</w:t>
      </w:r>
    </w:p>
    <w:p w14:paraId="35F64578" w14:textId="77777777" w:rsidR="00324B82" w:rsidRPr="009D57F6" w:rsidRDefault="00324B82" w:rsidP="00324B82">
      <w:pPr>
        <w:shd w:val="clear" w:color="auto" w:fill="FFFFFF"/>
        <w:spacing w:line="360" w:lineRule="auto"/>
        <w:jc w:val="both"/>
        <w:textAlignment w:val="baseline"/>
        <w:rPr>
          <w:rFonts w:ascii="Garamond" w:hAnsi="Garamond"/>
          <w:color w:val="201F1E"/>
          <w:sz w:val="26"/>
          <w:szCs w:val="26"/>
          <w:lang w:bidi="ar-SA"/>
        </w:rPr>
      </w:pPr>
      <w:r w:rsidRPr="009D57F6">
        <w:rPr>
          <w:rStyle w:val="Enfasigrassetto"/>
          <w:rFonts w:ascii="Garamond" w:eastAsiaTheme="majorEastAsia" w:hAnsi="Garamond"/>
          <w:smallCaps/>
          <w:color w:val="000000"/>
          <w:sz w:val="26"/>
          <w:szCs w:val="26"/>
          <w:shd w:val="clear" w:color="auto" w:fill="FFFFFF"/>
        </w:rPr>
        <w:t>Vitale C..</w:t>
      </w:r>
      <w:r w:rsidRPr="009D57F6">
        <w:rPr>
          <w:rStyle w:val="Enfasigrassetto"/>
          <w:rFonts w:ascii="Garamond" w:eastAsiaTheme="majorEastAsia" w:hAnsi="Garamond"/>
          <w:color w:val="000000"/>
          <w:sz w:val="26"/>
          <w:szCs w:val="26"/>
          <w:shd w:val="clear" w:color="auto" w:fill="FFFFFF"/>
        </w:rPr>
        <w:t xml:space="preserve">, </w:t>
      </w:r>
      <w:r w:rsidRPr="009D57F6">
        <w:rPr>
          <w:rStyle w:val="Enfasigrassetto"/>
          <w:rFonts w:ascii="Garamond" w:eastAsiaTheme="majorEastAsia" w:hAnsi="Garamond"/>
          <w:i/>
          <w:color w:val="000000"/>
          <w:sz w:val="26"/>
          <w:szCs w:val="26"/>
          <w:shd w:val="clear" w:color="auto" w:fill="FFFFFF"/>
        </w:rPr>
        <w:t xml:space="preserve">Percorsi di valorizzazione sostenibile del patrimonio culturale e promozione turistica: la disciplina degli itinerari enogastronomici per lo sviluppo dei territori, </w:t>
      </w:r>
      <w:proofErr w:type="spellStart"/>
      <w:r w:rsidRPr="009D57F6">
        <w:rPr>
          <w:rStyle w:val="Enfasigrassetto"/>
          <w:rFonts w:ascii="Garamond" w:eastAsiaTheme="majorEastAsia" w:hAnsi="Garamond"/>
          <w:i/>
          <w:color w:val="000000"/>
          <w:sz w:val="26"/>
          <w:szCs w:val="26"/>
          <w:shd w:val="clear" w:color="auto" w:fill="FFFFFF"/>
        </w:rPr>
        <w:t>Agr.Ist</w:t>
      </w:r>
      <w:proofErr w:type="spellEnd"/>
      <w:r w:rsidRPr="009D57F6">
        <w:rPr>
          <w:rStyle w:val="Enfasigrassetto"/>
          <w:rFonts w:ascii="Garamond" w:eastAsiaTheme="majorEastAsia" w:hAnsi="Garamond"/>
          <w:i/>
          <w:color w:val="000000"/>
          <w:sz w:val="26"/>
          <w:szCs w:val="26"/>
          <w:shd w:val="clear" w:color="auto" w:fill="FFFFFF"/>
        </w:rPr>
        <w:t>. e Mercati,</w:t>
      </w:r>
      <w:r w:rsidRPr="009D57F6">
        <w:rPr>
          <w:rStyle w:val="Enfasigrassetto"/>
          <w:rFonts w:ascii="Garamond" w:eastAsiaTheme="majorEastAsia" w:hAnsi="Garamond"/>
          <w:color w:val="000000"/>
          <w:sz w:val="26"/>
          <w:szCs w:val="26"/>
          <w:shd w:val="clear" w:color="auto" w:fill="FFFFFF"/>
        </w:rPr>
        <w:t xml:space="preserve"> 2018, p. 43 ss.</w:t>
      </w:r>
    </w:p>
    <w:p w14:paraId="43D3D32D" w14:textId="77777777" w:rsidR="00324B82" w:rsidRPr="009D57F6" w:rsidRDefault="00324B82" w:rsidP="00324B82">
      <w:pPr>
        <w:jc w:val="both"/>
        <w:rPr>
          <w:rFonts w:ascii="Garamond" w:hAnsi="Garamond"/>
          <w:sz w:val="26"/>
          <w:szCs w:val="26"/>
        </w:rPr>
      </w:pPr>
      <w:r w:rsidRPr="009D57F6">
        <w:rPr>
          <w:rFonts w:ascii="Garamond" w:hAnsi="Garamond"/>
          <w:smallCaps/>
          <w:sz w:val="26"/>
          <w:szCs w:val="26"/>
        </w:rPr>
        <w:t>vitale C.</w:t>
      </w:r>
      <w:r w:rsidRPr="009D57F6">
        <w:rPr>
          <w:rFonts w:ascii="Garamond" w:hAnsi="Garamond"/>
          <w:sz w:val="26"/>
          <w:szCs w:val="26"/>
        </w:rPr>
        <w:t xml:space="preserve">., </w:t>
      </w:r>
      <w:r w:rsidRPr="009D57F6">
        <w:rPr>
          <w:rFonts w:ascii="Garamond" w:hAnsi="Garamond"/>
          <w:i/>
          <w:sz w:val="26"/>
          <w:szCs w:val="26"/>
        </w:rPr>
        <w:t xml:space="preserve">Il sentiero del Brigante, </w:t>
      </w:r>
      <w:proofErr w:type="spellStart"/>
      <w:r w:rsidRPr="009D57F6">
        <w:rPr>
          <w:rFonts w:ascii="Garamond" w:hAnsi="Garamond"/>
          <w:i/>
          <w:sz w:val="26"/>
          <w:szCs w:val="26"/>
        </w:rPr>
        <w:t>Aedon</w:t>
      </w:r>
      <w:proofErr w:type="spellEnd"/>
      <w:r w:rsidRPr="009D57F6">
        <w:rPr>
          <w:rFonts w:ascii="Garamond" w:hAnsi="Garamond"/>
          <w:i/>
          <w:sz w:val="26"/>
          <w:szCs w:val="26"/>
        </w:rPr>
        <w:t xml:space="preserve">, Itinerari turistico culturali e vincoli paesaggistici tra norme e prassi, </w:t>
      </w:r>
      <w:proofErr w:type="spellStart"/>
      <w:r w:rsidRPr="009D57F6">
        <w:rPr>
          <w:rFonts w:ascii="Garamond" w:hAnsi="Garamond"/>
          <w:i/>
          <w:sz w:val="26"/>
          <w:szCs w:val="26"/>
        </w:rPr>
        <w:t>Aedon</w:t>
      </w:r>
      <w:proofErr w:type="spellEnd"/>
      <w:r w:rsidRPr="009D57F6">
        <w:rPr>
          <w:rFonts w:ascii="Garamond" w:hAnsi="Garamond"/>
          <w:i/>
          <w:sz w:val="26"/>
          <w:szCs w:val="26"/>
        </w:rPr>
        <w:t>,</w:t>
      </w:r>
      <w:r w:rsidRPr="009D57F6">
        <w:rPr>
          <w:rFonts w:ascii="Garamond" w:hAnsi="Garamond"/>
          <w:sz w:val="26"/>
          <w:szCs w:val="26"/>
        </w:rPr>
        <w:t xml:space="preserve"> 1, 2024.</w:t>
      </w:r>
    </w:p>
    <w:p w14:paraId="1FCFC53A" w14:textId="77777777" w:rsidR="00CD7864" w:rsidRDefault="00CD7864">
      <w:bookmarkStart w:id="0" w:name="_GoBack"/>
      <w:bookmarkEnd w:id="0"/>
    </w:p>
    <w:sectPr w:rsidR="00CD7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64"/>
    <w:rsid w:val="00324B82"/>
    <w:rsid w:val="00C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879E5-F2CA-4464-B1CD-F61BC2FE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324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24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edon.mulino.it/archivio/1999/1/achizz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edon.mulino.it/archivio/2020/1/areddu.htm" TargetMode="External"/><Relationship Id="rId5" Type="http://schemas.openxmlformats.org/officeDocument/2006/relationships/hyperlink" Target="http://www.aedon.mulino.it/archivio/2000/3/amorosin.htm" TargetMode="External"/><Relationship Id="rId4" Type="http://schemas.openxmlformats.org/officeDocument/2006/relationships/hyperlink" Target="https://www.ambientediritto.it/dottrina/turismo-sostenibile-e-politiche-territoriali-profili-giuridic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carmen.vitale@unimc.it</dc:creator>
  <cp:keywords/>
  <dc:description/>
  <cp:lastModifiedBy>carmen.vitale@unimc.it</cp:lastModifiedBy>
  <cp:revision>2</cp:revision>
  <dcterms:created xsi:type="dcterms:W3CDTF">2024-10-01T09:26:00Z</dcterms:created>
  <dcterms:modified xsi:type="dcterms:W3CDTF">2024-10-01T09:26:00Z</dcterms:modified>
</cp:coreProperties>
</file>