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214A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lang w:eastAsia="en-US" w:bidi="ar-SA"/>
        </w:rPr>
      </w:pPr>
      <w:r w:rsidRPr="00815147">
        <w:rPr>
          <w:rFonts w:ascii="Garamond" w:eastAsia="Calibri" w:hAnsi="Garamond"/>
          <w:sz w:val="26"/>
          <w:szCs w:val="26"/>
          <w:lang w:eastAsia="en-US" w:bidi="ar-SA"/>
        </w:rPr>
        <w:t>Lavori di gruppo</w:t>
      </w:r>
    </w:p>
    <w:p w14:paraId="6C27F0A4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lang w:eastAsia="en-US" w:bidi="ar-SA"/>
        </w:rPr>
      </w:pPr>
    </w:p>
    <w:p w14:paraId="5347BED6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  <w:r w:rsidRPr="00815147">
        <w:rPr>
          <w:rFonts w:ascii="Garamond" w:eastAsia="Calibri" w:hAnsi="Garamond"/>
          <w:sz w:val="26"/>
          <w:szCs w:val="26"/>
          <w:u w:val="single"/>
          <w:lang w:eastAsia="en-US" w:bidi="ar-SA"/>
        </w:rPr>
        <w:t>Patti di collaborazione e rigenerazione dei beni culturali</w:t>
      </w:r>
    </w:p>
    <w:p w14:paraId="0270E9F1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lang w:eastAsia="en-US" w:bidi="ar-SA"/>
        </w:rPr>
      </w:pPr>
    </w:p>
    <w:p w14:paraId="40CB7FFE" w14:textId="77777777" w:rsidR="00A92B08" w:rsidRPr="00815147" w:rsidRDefault="00A92B08" w:rsidP="00A92B0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rFonts w:ascii="Garamond" w:eastAsia="Garamond" w:hAnsi="Garamond" w:cs="Garamond"/>
          <w:smallCaps/>
          <w:sz w:val="26"/>
          <w:szCs w:val="26"/>
        </w:rPr>
      </w:pPr>
      <w:r w:rsidRPr="00815147">
        <w:rPr>
          <w:rFonts w:ascii="Garamond" w:eastAsia="Garamond" w:hAnsi="Garamond" w:cs="Garamond"/>
          <w:smallCaps/>
          <w:sz w:val="26"/>
          <w:szCs w:val="26"/>
        </w:rPr>
        <w:t>Arena</w:t>
      </w:r>
      <w:r>
        <w:rPr>
          <w:rFonts w:ascii="Garamond" w:eastAsia="Garamond" w:hAnsi="Garamond" w:cs="Garamond"/>
          <w:smallCaps/>
          <w:sz w:val="26"/>
          <w:szCs w:val="26"/>
        </w:rPr>
        <w:t xml:space="preserve"> G.</w:t>
      </w:r>
      <w:r w:rsidRPr="00815147">
        <w:rPr>
          <w:rFonts w:ascii="Garamond" w:eastAsia="Garamond" w:hAnsi="Garamond" w:cs="Garamond"/>
          <w:smallCaps/>
          <w:sz w:val="26"/>
          <w:szCs w:val="26"/>
        </w:rPr>
        <w:t>,</w:t>
      </w:r>
      <w:r w:rsidRPr="00815147">
        <w:rPr>
          <w:rFonts w:ascii="Garamond" w:eastAsia="Garamond" w:hAnsi="Garamond" w:cs="Garamond"/>
          <w:sz w:val="26"/>
          <w:szCs w:val="26"/>
        </w:rPr>
        <w:t xml:space="preserve"> </w:t>
      </w:r>
      <w:r w:rsidRPr="00815147">
        <w:rPr>
          <w:rFonts w:ascii="Garamond" w:eastAsia="Garamond" w:hAnsi="Garamond" w:cs="Garamond"/>
          <w:i/>
          <w:sz w:val="26"/>
          <w:szCs w:val="26"/>
        </w:rPr>
        <w:t>Amministrazione e società. Il nuovo cittadino,</w:t>
      </w:r>
      <w:r w:rsidRPr="00815147">
        <w:rPr>
          <w:rFonts w:ascii="Garamond" w:eastAsia="Garamond" w:hAnsi="Garamond" w:cs="Garamond"/>
          <w:sz w:val="26"/>
          <w:szCs w:val="26"/>
        </w:rPr>
        <w:t xml:space="preserve"> in </w:t>
      </w:r>
      <w:proofErr w:type="spellStart"/>
      <w:r w:rsidRPr="00815147">
        <w:rPr>
          <w:rFonts w:ascii="Garamond" w:eastAsia="Garamond" w:hAnsi="Garamond" w:cs="Garamond"/>
          <w:i/>
          <w:sz w:val="26"/>
          <w:szCs w:val="26"/>
        </w:rPr>
        <w:t>Riv</w:t>
      </w:r>
      <w:proofErr w:type="spellEnd"/>
      <w:r w:rsidRPr="00815147">
        <w:rPr>
          <w:rFonts w:ascii="Garamond" w:eastAsia="Garamond" w:hAnsi="Garamond" w:cs="Garamond"/>
          <w:i/>
          <w:sz w:val="26"/>
          <w:szCs w:val="26"/>
        </w:rPr>
        <w:t xml:space="preserve">. trim. dir. </w:t>
      </w:r>
      <w:proofErr w:type="spellStart"/>
      <w:r w:rsidRPr="00815147">
        <w:rPr>
          <w:rFonts w:ascii="Garamond" w:eastAsia="Garamond" w:hAnsi="Garamond" w:cs="Garamond"/>
          <w:i/>
          <w:sz w:val="26"/>
          <w:szCs w:val="26"/>
        </w:rPr>
        <w:t>pubbl</w:t>
      </w:r>
      <w:proofErr w:type="spellEnd"/>
      <w:r w:rsidRPr="00815147">
        <w:rPr>
          <w:rFonts w:ascii="Garamond" w:eastAsia="Garamond" w:hAnsi="Garamond" w:cs="Garamond"/>
          <w:sz w:val="26"/>
          <w:szCs w:val="26"/>
        </w:rPr>
        <w:t xml:space="preserve">., 1, 2017, pp. 43-55; </w:t>
      </w:r>
    </w:p>
    <w:p w14:paraId="59FA0B04" w14:textId="77777777" w:rsidR="00A92B08" w:rsidRPr="00815147" w:rsidRDefault="00A92B08" w:rsidP="00A92B0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rFonts w:ascii="Garamond" w:eastAsia="Garamond" w:hAnsi="Garamond" w:cs="Garamond"/>
          <w:sz w:val="26"/>
          <w:szCs w:val="26"/>
        </w:rPr>
      </w:pPr>
      <w:r w:rsidRPr="00815147">
        <w:rPr>
          <w:rFonts w:ascii="Garamond" w:eastAsia="Garamond" w:hAnsi="Garamond" w:cs="Garamond"/>
          <w:smallCaps/>
          <w:sz w:val="26"/>
          <w:szCs w:val="26"/>
        </w:rPr>
        <w:t>Arena</w:t>
      </w:r>
      <w:r>
        <w:rPr>
          <w:rFonts w:ascii="Garamond" w:eastAsia="Garamond" w:hAnsi="Garamond" w:cs="Garamond"/>
          <w:smallCaps/>
          <w:sz w:val="26"/>
          <w:szCs w:val="26"/>
        </w:rPr>
        <w:t xml:space="preserve"> G.</w:t>
      </w:r>
      <w:r w:rsidRPr="00815147">
        <w:rPr>
          <w:rFonts w:ascii="Garamond" w:eastAsia="Garamond" w:hAnsi="Garamond" w:cs="Garamond"/>
          <w:smallCaps/>
          <w:sz w:val="26"/>
          <w:szCs w:val="26"/>
        </w:rPr>
        <w:t xml:space="preserve">, </w:t>
      </w:r>
      <w:proofErr w:type="spellStart"/>
      <w:r w:rsidRPr="00815147">
        <w:rPr>
          <w:rFonts w:ascii="Garamond" w:eastAsia="Garamond" w:hAnsi="Garamond" w:cs="Garamond"/>
          <w:smallCaps/>
          <w:sz w:val="26"/>
          <w:szCs w:val="26"/>
        </w:rPr>
        <w:t>Iaione</w:t>
      </w:r>
      <w:proofErr w:type="spellEnd"/>
      <w:r>
        <w:rPr>
          <w:rFonts w:ascii="Garamond" w:eastAsia="Garamond" w:hAnsi="Garamond" w:cs="Garamond"/>
          <w:smallCaps/>
          <w:sz w:val="26"/>
          <w:szCs w:val="26"/>
        </w:rPr>
        <w:t xml:space="preserve"> </w:t>
      </w:r>
      <w:proofErr w:type="gramStart"/>
      <w:r>
        <w:rPr>
          <w:rFonts w:ascii="Garamond" w:eastAsia="Garamond" w:hAnsi="Garamond" w:cs="Garamond"/>
          <w:smallCaps/>
          <w:sz w:val="26"/>
          <w:szCs w:val="26"/>
        </w:rPr>
        <w:t>C.,.</w:t>
      </w:r>
      <w:proofErr w:type="gramEnd"/>
      <w:r>
        <w:rPr>
          <w:rFonts w:ascii="Garamond" w:eastAsia="Garamond" w:hAnsi="Garamond" w:cs="Garamond"/>
          <w:smallCaps/>
          <w:sz w:val="26"/>
          <w:szCs w:val="26"/>
        </w:rPr>
        <w:t xml:space="preserve"> </w:t>
      </w:r>
      <w:r w:rsidRPr="00815147">
        <w:rPr>
          <w:rFonts w:ascii="Garamond" w:eastAsia="Garamond" w:hAnsi="Garamond" w:cs="Garamond"/>
          <w:sz w:val="26"/>
          <w:szCs w:val="26"/>
        </w:rPr>
        <w:t xml:space="preserve">(a cura di), </w:t>
      </w:r>
      <w:r w:rsidRPr="00815147">
        <w:rPr>
          <w:rFonts w:ascii="Garamond" w:eastAsia="Garamond" w:hAnsi="Garamond" w:cs="Garamond"/>
          <w:i/>
          <w:sz w:val="26"/>
          <w:szCs w:val="26"/>
        </w:rPr>
        <w:t>L’Italia dei beni comuni</w:t>
      </w:r>
      <w:r w:rsidRPr="00815147">
        <w:rPr>
          <w:rFonts w:ascii="Garamond" w:eastAsia="Garamond" w:hAnsi="Garamond" w:cs="Garamond"/>
          <w:sz w:val="26"/>
          <w:szCs w:val="26"/>
        </w:rPr>
        <w:t xml:space="preserve">, Roma, Carocci, 2012; </w:t>
      </w:r>
    </w:p>
    <w:p w14:paraId="68857DD4" w14:textId="77777777" w:rsidR="00A92B08" w:rsidRPr="00815147" w:rsidRDefault="00A92B08" w:rsidP="00A92B0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rFonts w:ascii="Garamond" w:eastAsia="Garamond" w:hAnsi="Garamond" w:cs="Garamond"/>
          <w:sz w:val="26"/>
          <w:szCs w:val="26"/>
        </w:rPr>
      </w:pPr>
      <w:proofErr w:type="spellStart"/>
      <w:proofErr w:type="gramStart"/>
      <w:r w:rsidRPr="00815147">
        <w:rPr>
          <w:rFonts w:ascii="Garamond" w:eastAsia="Garamond" w:hAnsi="Garamond" w:cs="Garamond"/>
          <w:smallCaps/>
          <w:sz w:val="26"/>
          <w:szCs w:val="26"/>
        </w:rPr>
        <w:t>Bombardelli</w:t>
      </w:r>
      <w:proofErr w:type="spellEnd"/>
      <w:r w:rsidRPr="00815147">
        <w:rPr>
          <w:rFonts w:ascii="Garamond" w:eastAsia="Garamond" w:hAnsi="Garamond" w:cs="Garamond"/>
          <w:smallCaps/>
          <w:sz w:val="26"/>
          <w:szCs w:val="26"/>
        </w:rPr>
        <w:t xml:space="preserve"> </w:t>
      </w:r>
      <w:r>
        <w:rPr>
          <w:rFonts w:ascii="Garamond" w:eastAsia="Garamond" w:hAnsi="Garamond" w:cs="Garamond"/>
          <w:smallCaps/>
          <w:sz w:val="26"/>
          <w:szCs w:val="26"/>
        </w:rPr>
        <w:t xml:space="preserve"> M.</w:t>
      </w:r>
      <w:proofErr w:type="gramEnd"/>
      <w:r w:rsidRPr="00815147">
        <w:rPr>
          <w:rFonts w:ascii="Garamond" w:eastAsia="Garamond" w:hAnsi="Garamond" w:cs="Garamond"/>
          <w:sz w:val="26"/>
          <w:szCs w:val="26"/>
        </w:rPr>
        <w:t>(a cura di),</w:t>
      </w:r>
      <w:r w:rsidRPr="00815147">
        <w:rPr>
          <w:rFonts w:ascii="Garamond" w:eastAsia="Garamond" w:hAnsi="Garamond" w:cs="Garamond"/>
          <w:i/>
          <w:sz w:val="26"/>
          <w:szCs w:val="26"/>
        </w:rPr>
        <w:t xml:space="preserve"> Prendersi cura dei beni comuni per uscire dalla crisi</w:t>
      </w:r>
      <w:r w:rsidRPr="00815147">
        <w:rPr>
          <w:rFonts w:ascii="Garamond" w:eastAsia="Garamond" w:hAnsi="Garamond" w:cs="Garamond"/>
          <w:sz w:val="26"/>
          <w:szCs w:val="26"/>
        </w:rPr>
        <w:t xml:space="preserve">, Editoriale Scientifica, Napoli, 2016. Sulla assimilazione tra patrimonio culturale e beni comuni, cfr. </w:t>
      </w:r>
    </w:p>
    <w:p w14:paraId="64392500" w14:textId="77777777" w:rsidR="00A92B08" w:rsidRPr="00815147" w:rsidRDefault="00A92B08" w:rsidP="00A92B08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both"/>
        <w:rPr>
          <w:rFonts w:ascii="Garamond" w:eastAsia="Garamond" w:hAnsi="Garamond" w:cs="Garamond"/>
          <w:sz w:val="26"/>
          <w:szCs w:val="26"/>
        </w:rPr>
      </w:pPr>
      <w:proofErr w:type="spellStart"/>
      <w:r w:rsidRPr="00815147">
        <w:rPr>
          <w:rFonts w:ascii="Garamond" w:eastAsia="Garamond" w:hAnsi="Garamond" w:cs="Garamond"/>
          <w:smallCaps/>
          <w:sz w:val="26"/>
          <w:szCs w:val="26"/>
        </w:rPr>
        <w:t>Fidelbo</w:t>
      </w:r>
      <w:proofErr w:type="spellEnd"/>
      <w:r w:rsidRPr="00815147">
        <w:rPr>
          <w:rFonts w:ascii="Garamond" w:eastAsia="Garamond" w:hAnsi="Garamond" w:cs="Garamond"/>
          <w:sz w:val="26"/>
          <w:szCs w:val="26"/>
        </w:rPr>
        <w:t>,</w:t>
      </w:r>
      <w:r>
        <w:rPr>
          <w:rFonts w:ascii="Garamond" w:eastAsia="Garamond" w:hAnsi="Garamond" w:cs="Garamond"/>
          <w:sz w:val="26"/>
          <w:szCs w:val="26"/>
        </w:rPr>
        <w:t xml:space="preserve"> E.</w:t>
      </w:r>
      <w:r w:rsidRPr="00815147">
        <w:rPr>
          <w:rFonts w:ascii="Garamond" w:eastAsia="Garamond" w:hAnsi="Garamond" w:cs="Garamond"/>
          <w:sz w:val="26"/>
          <w:szCs w:val="26"/>
        </w:rPr>
        <w:t xml:space="preserve"> </w:t>
      </w:r>
      <w:r w:rsidRPr="00815147">
        <w:rPr>
          <w:rFonts w:ascii="Garamond" w:eastAsia="Garamond" w:hAnsi="Garamond" w:cs="Garamond"/>
          <w:i/>
          <w:sz w:val="26"/>
          <w:szCs w:val="26"/>
        </w:rPr>
        <w:t>Strumenti giuridici di valorizzazione del rapporto tra patrimonio culturale e territorio: il caso dei patti di collaborazione tra amministrazioni locali e cittadini</w:t>
      </w:r>
      <w:r w:rsidRPr="00815147">
        <w:rPr>
          <w:rFonts w:ascii="Garamond" w:eastAsia="Garamond" w:hAnsi="Garamond" w:cs="Garamond"/>
          <w:sz w:val="26"/>
          <w:szCs w:val="26"/>
        </w:rPr>
        <w:t xml:space="preserve">, in </w:t>
      </w:r>
      <w:proofErr w:type="spellStart"/>
      <w:r w:rsidRPr="00815147">
        <w:rPr>
          <w:rFonts w:ascii="Garamond" w:eastAsia="Garamond" w:hAnsi="Garamond" w:cs="Garamond"/>
          <w:i/>
          <w:sz w:val="26"/>
          <w:szCs w:val="26"/>
        </w:rPr>
        <w:t>Aedon</w:t>
      </w:r>
      <w:proofErr w:type="spellEnd"/>
      <w:r w:rsidRPr="00815147">
        <w:rPr>
          <w:rFonts w:ascii="Garamond" w:eastAsia="Garamond" w:hAnsi="Garamond" w:cs="Garamond"/>
          <w:sz w:val="26"/>
          <w:szCs w:val="26"/>
        </w:rPr>
        <w:t>, 3,2018.</w:t>
      </w:r>
    </w:p>
    <w:p w14:paraId="7F4D5BEB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lang w:eastAsia="en-US" w:bidi="ar-SA"/>
        </w:rPr>
      </w:pPr>
    </w:p>
    <w:p w14:paraId="55CC4E4A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lang w:eastAsia="en-US" w:bidi="ar-SA"/>
        </w:rPr>
      </w:pPr>
    </w:p>
    <w:p w14:paraId="19E459E8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  <w:r w:rsidRPr="00815147">
        <w:rPr>
          <w:rFonts w:ascii="Garamond" w:eastAsia="Calibri" w:hAnsi="Garamond"/>
          <w:sz w:val="26"/>
          <w:szCs w:val="26"/>
          <w:u w:val="single"/>
          <w:lang w:eastAsia="en-US" w:bidi="ar-SA"/>
        </w:rPr>
        <w:t>Valorizzazione del paesaggio e disciplina degli itinerari turistico culturali</w:t>
      </w:r>
    </w:p>
    <w:p w14:paraId="6859D7C5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</w:p>
    <w:p w14:paraId="59B78D23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Areddu</w:t>
      </w:r>
      <w:proofErr w:type="spellEnd"/>
      <w:r w:rsidRPr="00815147">
        <w:rPr>
          <w:rFonts w:ascii="Garamond" w:hAnsi="Garamond"/>
          <w:smallCaps/>
          <w:sz w:val="26"/>
          <w:szCs w:val="26"/>
        </w:rPr>
        <w:t xml:space="preserve"> A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iCs/>
          <w:sz w:val="26"/>
          <w:szCs w:val="26"/>
        </w:rPr>
        <w:t xml:space="preserve">Analisi giuridica degli itinerari culturali, </w:t>
      </w:r>
      <w:proofErr w:type="spellStart"/>
      <w:r w:rsidRPr="00815147">
        <w:rPr>
          <w:rFonts w:ascii="Garamond" w:hAnsi="Garamond"/>
          <w:i/>
          <w:iCs/>
          <w:sz w:val="26"/>
          <w:szCs w:val="26"/>
        </w:rPr>
        <w:t>Aedon</w:t>
      </w:r>
      <w:proofErr w:type="spellEnd"/>
      <w:r w:rsidRPr="00815147">
        <w:rPr>
          <w:rFonts w:ascii="Garamond" w:hAnsi="Garamond"/>
          <w:i/>
          <w:iCs/>
          <w:sz w:val="26"/>
          <w:szCs w:val="26"/>
        </w:rPr>
        <w:t>,</w:t>
      </w:r>
      <w:r w:rsidRPr="00815147">
        <w:rPr>
          <w:rFonts w:ascii="Garamond" w:hAnsi="Garamond"/>
          <w:sz w:val="26"/>
          <w:szCs w:val="26"/>
        </w:rPr>
        <w:t xml:space="preserve"> 1, 2020.</w:t>
      </w:r>
    </w:p>
    <w:p w14:paraId="71AE591E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Areddu</w:t>
      </w:r>
      <w:proofErr w:type="spellEnd"/>
      <w:r w:rsidRPr="00815147">
        <w:rPr>
          <w:rFonts w:ascii="Garamond" w:hAnsi="Garamond"/>
          <w:smallCaps/>
          <w:sz w:val="26"/>
          <w:szCs w:val="26"/>
        </w:rPr>
        <w:t xml:space="preserve"> A.</w:t>
      </w:r>
      <w:r w:rsidRPr="00815147">
        <w:rPr>
          <w:rFonts w:ascii="Garamond" w:hAnsi="Garamond"/>
          <w:sz w:val="26"/>
          <w:szCs w:val="26"/>
        </w:rPr>
        <w:t xml:space="preserve">, </w:t>
      </w:r>
      <w:r w:rsidRPr="00815147">
        <w:rPr>
          <w:rFonts w:ascii="Garamond" w:hAnsi="Garamond"/>
          <w:i/>
          <w:iCs/>
          <w:sz w:val="26"/>
          <w:szCs w:val="26"/>
        </w:rPr>
        <w:t>Contributo allo studio degli itinerari culturali</w:t>
      </w:r>
      <w:r w:rsidRPr="00815147">
        <w:rPr>
          <w:rFonts w:ascii="Garamond" w:hAnsi="Garamond"/>
          <w:sz w:val="26"/>
          <w:szCs w:val="26"/>
        </w:rPr>
        <w:t>, Napoli, 2019</w:t>
      </w:r>
    </w:p>
    <w:p w14:paraId="489DD932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Sau</w:t>
      </w:r>
      <w:proofErr w:type="spellEnd"/>
      <w:r w:rsidRPr="00815147">
        <w:rPr>
          <w:rFonts w:ascii="Garamond" w:hAnsi="Garamond"/>
          <w:smallCaps/>
          <w:sz w:val="26"/>
          <w:szCs w:val="26"/>
        </w:rPr>
        <w:t xml:space="preserve"> S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iCs/>
          <w:sz w:val="26"/>
          <w:szCs w:val="26"/>
        </w:rPr>
        <w:t xml:space="preserve">Le frontiere del turismo culturale, </w:t>
      </w:r>
      <w:proofErr w:type="spellStart"/>
      <w:r w:rsidRPr="00815147">
        <w:rPr>
          <w:rFonts w:ascii="Garamond" w:hAnsi="Garamond"/>
          <w:i/>
          <w:iCs/>
          <w:sz w:val="26"/>
          <w:szCs w:val="26"/>
        </w:rPr>
        <w:t>Aedon</w:t>
      </w:r>
      <w:proofErr w:type="spellEnd"/>
      <w:r w:rsidRPr="00815147">
        <w:rPr>
          <w:rFonts w:ascii="Garamond" w:hAnsi="Garamond"/>
          <w:sz w:val="26"/>
          <w:szCs w:val="26"/>
        </w:rPr>
        <w:t>, 1, 2020.</w:t>
      </w:r>
    </w:p>
    <w:p w14:paraId="6AA23265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mallCaps/>
          <w:sz w:val="26"/>
          <w:szCs w:val="26"/>
        </w:rPr>
        <w:t>vitale C.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sz w:val="26"/>
          <w:szCs w:val="26"/>
        </w:rPr>
        <w:t xml:space="preserve">Il sentiero del Brigante, </w:t>
      </w:r>
      <w:proofErr w:type="spellStart"/>
      <w:r w:rsidRPr="00815147">
        <w:rPr>
          <w:rFonts w:ascii="Garamond" w:hAnsi="Garamond"/>
          <w:i/>
          <w:sz w:val="26"/>
          <w:szCs w:val="26"/>
        </w:rPr>
        <w:t>Aedon</w:t>
      </w:r>
      <w:proofErr w:type="spellEnd"/>
      <w:r w:rsidRPr="00815147">
        <w:rPr>
          <w:rFonts w:ascii="Garamond" w:hAnsi="Garamond"/>
          <w:i/>
          <w:sz w:val="26"/>
          <w:szCs w:val="26"/>
        </w:rPr>
        <w:t xml:space="preserve">, Itinerari turistico culturali e vincoli paesaggistici tra norme e prassi, </w:t>
      </w:r>
      <w:proofErr w:type="spellStart"/>
      <w:r w:rsidRPr="00815147">
        <w:rPr>
          <w:rFonts w:ascii="Garamond" w:hAnsi="Garamond"/>
          <w:i/>
          <w:sz w:val="26"/>
          <w:szCs w:val="26"/>
        </w:rPr>
        <w:t>Aedon</w:t>
      </w:r>
      <w:proofErr w:type="spellEnd"/>
      <w:r w:rsidRPr="00815147">
        <w:rPr>
          <w:rFonts w:ascii="Garamond" w:hAnsi="Garamond"/>
          <w:i/>
          <w:sz w:val="26"/>
          <w:szCs w:val="26"/>
        </w:rPr>
        <w:t>,</w:t>
      </w:r>
      <w:r w:rsidRPr="00815147">
        <w:rPr>
          <w:rFonts w:ascii="Garamond" w:hAnsi="Garamond"/>
          <w:sz w:val="26"/>
          <w:szCs w:val="26"/>
        </w:rPr>
        <w:t xml:space="preserve"> 1, 2024.</w:t>
      </w:r>
    </w:p>
    <w:p w14:paraId="6B7447B9" w14:textId="77777777" w:rsidR="00A92B08" w:rsidRPr="00815147" w:rsidRDefault="00A92B08" w:rsidP="00A92B08">
      <w:pPr>
        <w:ind w:hanging="567"/>
        <w:jc w:val="both"/>
        <w:rPr>
          <w:rFonts w:ascii="Garamond" w:hAnsi="Garamond"/>
          <w:sz w:val="26"/>
          <w:szCs w:val="26"/>
        </w:rPr>
      </w:pPr>
    </w:p>
    <w:p w14:paraId="66F067C9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</w:p>
    <w:p w14:paraId="2FCA734C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  <w:r w:rsidRPr="00815147">
        <w:rPr>
          <w:rFonts w:ascii="Garamond" w:eastAsia="Calibri" w:hAnsi="Garamond"/>
          <w:sz w:val="26"/>
          <w:szCs w:val="26"/>
          <w:u w:val="single"/>
          <w:lang w:eastAsia="en-US" w:bidi="ar-SA"/>
        </w:rPr>
        <w:t>I procedimenti di dichiarazione di notevole interesse pubblico</w:t>
      </w:r>
    </w:p>
    <w:p w14:paraId="04B5E5F5" w14:textId="77777777" w:rsidR="00A92B08" w:rsidRPr="00815147" w:rsidRDefault="00A92B08" w:rsidP="00A92B08">
      <w:pPr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</w:p>
    <w:p w14:paraId="51439616" w14:textId="77777777" w:rsidR="00A92B08" w:rsidRPr="00815147" w:rsidRDefault="00A92B08" w:rsidP="00A92B08">
      <w:pPr>
        <w:rPr>
          <w:rFonts w:ascii="Garamond" w:hAnsi="Garamond"/>
          <w:sz w:val="26"/>
          <w:szCs w:val="26"/>
        </w:rPr>
      </w:pPr>
      <w:r w:rsidRPr="00815147">
        <w:rPr>
          <w:rFonts w:ascii="Garamond" w:hAnsi="Garamond"/>
          <w:smallCaps/>
          <w:sz w:val="26"/>
          <w:szCs w:val="26"/>
        </w:rPr>
        <w:t>Aicardi N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sz w:val="26"/>
          <w:szCs w:val="26"/>
        </w:rPr>
        <w:t xml:space="preserve">I vincoli paesaggistici tra Codice e l.r. n. 23/2009, </w:t>
      </w:r>
      <w:proofErr w:type="spellStart"/>
      <w:r w:rsidRPr="00815147">
        <w:rPr>
          <w:rFonts w:ascii="Garamond" w:hAnsi="Garamond"/>
          <w:i/>
          <w:sz w:val="26"/>
          <w:szCs w:val="26"/>
        </w:rPr>
        <w:t>Ist</w:t>
      </w:r>
      <w:proofErr w:type="spellEnd"/>
      <w:r w:rsidRPr="00815147">
        <w:rPr>
          <w:rFonts w:ascii="Garamond" w:hAnsi="Garamond"/>
          <w:i/>
          <w:sz w:val="26"/>
          <w:szCs w:val="26"/>
        </w:rPr>
        <w:t>. Fed</w:t>
      </w:r>
      <w:r w:rsidRPr="00815147">
        <w:rPr>
          <w:rFonts w:ascii="Garamond" w:hAnsi="Garamond"/>
          <w:sz w:val="26"/>
          <w:szCs w:val="26"/>
        </w:rPr>
        <w:t xml:space="preserve">., 2010, 81 y </w:t>
      </w:r>
      <w:proofErr w:type="gramStart"/>
      <w:r w:rsidRPr="00815147">
        <w:rPr>
          <w:rFonts w:ascii="Garamond" w:hAnsi="Garamond"/>
          <w:sz w:val="26"/>
          <w:szCs w:val="26"/>
        </w:rPr>
        <w:t>ss..</w:t>
      </w:r>
      <w:proofErr w:type="gramEnd"/>
    </w:p>
    <w:p w14:paraId="28E198AB" w14:textId="77777777" w:rsidR="00A92B08" w:rsidRPr="00815147" w:rsidRDefault="00A92B08" w:rsidP="00A92B08">
      <w:pPr>
        <w:rPr>
          <w:rFonts w:ascii="Garamond" w:hAnsi="Garamond"/>
          <w:sz w:val="26"/>
          <w:szCs w:val="26"/>
        </w:rPr>
      </w:pPr>
      <w:r w:rsidRPr="00815147">
        <w:rPr>
          <w:rFonts w:ascii="Garamond" w:hAnsi="Garamond"/>
          <w:smallCaps/>
          <w:sz w:val="26"/>
          <w:szCs w:val="26"/>
        </w:rPr>
        <w:t>Bartolini A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sz w:val="26"/>
          <w:szCs w:val="26"/>
        </w:rPr>
        <w:t>Art. 140</w:t>
      </w:r>
      <w:r w:rsidRPr="00815147">
        <w:rPr>
          <w:rFonts w:ascii="Garamond" w:hAnsi="Garamond"/>
          <w:sz w:val="26"/>
          <w:szCs w:val="26"/>
        </w:rPr>
        <w:t xml:space="preserve"> en M. Cammelli (ed.), </w:t>
      </w:r>
      <w:r w:rsidRPr="00815147">
        <w:rPr>
          <w:rFonts w:ascii="Garamond" w:hAnsi="Garamond"/>
          <w:i/>
          <w:sz w:val="26"/>
          <w:szCs w:val="26"/>
        </w:rPr>
        <w:t xml:space="preserve">Il codice dei beni culturali e del paesaggio, </w:t>
      </w:r>
      <w:r w:rsidRPr="00815147">
        <w:rPr>
          <w:rFonts w:ascii="Garamond" w:hAnsi="Garamond"/>
          <w:sz w:val="26"/>
          <w:szCs w:val="26"/>
        </w:rPr>
        <w:t>Bologna, 2007.</w:t>
      </w:r>
    </w:p>
    <w:p w14:paraId="71AAA751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Crosetti</w:t>
      </w:r>
      <w:proofErr w:type="spellEnd"/>
      <w:r w:rsidRPr="00815147">
        <w:rPr>
          <w:rFonts w:ascii="Garamond" w:hAnsi="Garamond"/>
          <w:smallCaps/>
          <w:sz w:val="26"/>
          <w:szCs w:val="26"/>
        </w:rPr>
        <w:t xml:space="preserve"> A.</w:t>
      </w:r>
      <w:r w:rsidRPr="00815147">
        <w:rPr>
          <w:rFonts w:ascii="Garamond" w:hAnsi="Garamond"/>
          <w:sz w:val="26"/>
          <w:szCs w:val="26"/>
        </w:rPr>
        <w:t xml:space="preserve">, </w:t>
      </w:r>
      <w:r w:rsidRPr="00815147">
        <w:rPr>
          <w:rFonts w:ascii="Garamond" w:hAnsi="Garamond"/>
          <w:i/>
          <w:sz w:val="26"/>
          <w:szCs w:val="26"/>
        </w:rPr>
        <w:t>L’individuazione dei beni paesaggistici</w:t>
      </w:r>
      <w:r w:rsidRPr="00815147">
        <w:rPr>
          <w:rFonts w:ascii="Garamond" w:hAnsi="Garamond"/>
          <w:sz w:val="26"/>
          <w:szCs w:val="26"/>
        </w:rPr>
        <w:t xml:space="preserve">, en A. </w:t>
      </w:r>
      <w:proofErr w:type="spellStart"/>
      <w:r w:rsidRPr="00815147">
        <w:rPr>
          <w:rFonts w:ascii="Garamond" w:hAnsi="Garamond"/>
          <w:sz w:val="26"/>
          <w:szCs w:val="26"/>
        </w:rPr>
        <w:t>Crosett</w:t>
      </w:r>
      <w:r>
        <w:rPr>
          <w:rFonts w:ascii="Garamond" w:hAnsi="Garamond"/>
          <w:sz w:val="26"/>
          <w:szCs w:val="26"/>
        </w:rPr>
        <w:t>i</w:t>
      </w:r>
      <w:proofErr w:type="spellEnd"/>
      <w:r w:rsidRPr="00815147">
        <w:rPr>
          <w:rFonts w:ascii="Garamond" w:hAnsi="Garamond"/>
          <w:sz w:val="26"/>
          <w:szCs w:val="26"/>
        </w:rPr>
        <w:t>, D. Vaiano,</w:t>
      </w:r>
      <w:r w:rsidRPr="00815147">
        <w:rPr>
          <w:rFonts w:ascii="Garamond" w:hAnsi="Garamond"/>
          <w:i/>
          <w:iCs/>
          <w:sz w:val="26"/>
          <w:szCs w:val="26"/>
        </w:rPr>
        <w:t xml:space="preserve"> Beni culturali e paesaggistici</w:t>
      </w:r>
      <w:r w:rsidRPr="00815147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>Torino</w:t>
      </w:r>
      <w:r w:rsidRPr="00815147">
        <w:rPr>
          <w:rFonts w:ascii="Garamond" w:hAnsi="Garamond"/>
          <w:sz w:val="26"/>
          <w:szCs w:val="26"/>
        </w:rPr>
        <w:t>, 2018, 216-217.</w:t>
      </w:r>
    </w:p>
    <w:p w14:paraId="3AE1CE67" w14:textId="77777777" w:rsidR="00A92B08" w:rsidRPr="00815147" w:rsidRDefault="00A92B08" w:rsidP="00A92B08">
      <w:pPr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Immordino</w:t>
      </w:r>
      <w:proofErr w:type="spellEnd"/>
      <w:r>
        <w:rPr>
          <w:rFonts w:ascii="Garamond" w:hAnsi="Garamond"/>
          <w:smallCaps/>
          <w:sz w:val="26"/>
          <w:szCs w:val="26"/>
        </w:rPr>
        <w:t xml:space="preserve"> M.</w:t>
      </w:r>
      <w:r w:rsidRPr="00815147">
        <w:rPr>
          <w:rFonts w:ascii="Garamond" w:hAnsi="Garamond"/>
          <w:sz w:val="26"/>
          <w:szCs w:val="26"/>
        </w:rPr>
        <w:t xml:space="preserve">, </w:t>
      </w:r>
      <w:r w:rsidRPr="00815147">
        <w:rPr>
          <w:rFonts w:ascii="Garamond" w:hAnsi="Garamond"/>
          <w:i/>
          <w:sz w:val="26"/>
          <w:szCs w:val="26"/>
        </w:rPr>
        <w:t>Vincolo paesaggistico e regime dei beni</w:t>
      </w:r>
      <w:r w:rsidRPr="00815147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>Milano</w:t>
      </w:r>
      <w:r w:rsidRPr="00815147">
        <w:rPr>
          <w:rFonts w:ascii="Garamond" w:hAnsi="Garamond"/>
          <w:sz w:val="26"/>
          <w:szCs w:val="26"/>
        </w:rPr>
        <w:t xml:space="preserve"> </w:t>
      </w:r>
      <w:proofErr w:type="gramStart"/>
      <w:r w:rsidRPr="00815147">
        <w:rPr>
          <w:rFonts w:ascii="Garamond" w:hAnsi="Garamond"/>
          <w:sz w:val="26"/>
          <w:szCs w:val="26"/>
        </w:rPr>
        <w:t>1991</w:t>
      </w:r>
      <w:r>
        <w:rPr>
          <w:rFonts w:ascii="Garamond" w:hAnsi="Garamond"/>
          <w:sz w:val="26"/>
          <w:szCs w:val="26"/>
        </w:rPr>
        <w:t>.</w:t>
      </w:r>
      <w:r w:rsidRPr="00815147">
        <w:rPr>
          <w:rFonts w:ascii="Garamond" w:hAnsi="Garamond"/>
          <w:sz w:val="26"/>
          <w:szCs w:val="26"/>
        </w:rPr>
        <w:t>.</w:t>
      </w:r>
      <w:proofErr w:type="gramEnd"/>
      <w:r w:rsidRPr="00815147">
        <w:rPr>
          <w:rFonts w:ascii="Garamond" w:hAnsi="Garamond"/>
          <w:sz w:val="26"/>
          <w:szCs w:val="26"/>
        </w:rPr>
        <w:t xml:space="preserve"> </w:t>
      </w:r>
    </w:p>
    <w:p w14:paraId="03B8288D" w14:textId="77777777" w:rsidR="00A92B08" w:rsidRPr="00815147" w:rsidRDefault="00A92B08" w:rsidP="00A92B08">
      <w:pPr>
        <w:jc w:val="both"/>
        <w:rPr>
          <w:rFonts w:ascii="Garamond" w:hAnsi="Garamond"/>
          <w:sz w:val="26"/>
          <w:szCs w:val="26"/>
        </w:rPr>
      </w:pPr>
      <w:proofErr w:type="spellStart"/>
      <w:r w:rsidRPr="00815147">
        <w:rPr>
          <w:rFonts w:ascii="Garamond" w:hAnsi="Garamond"/>
          <w:smallCaps/>
          <w:sz w:val="26"/>
          <w:szCs w:val="26"/>
        </w:rPr>
        <w:t>Piperata</w:t>
      </w:r>
      <w:proofErr w:type="spellEnd"/>
      <w:r w:rsidRPr="00815147">
        <w:rPr>
          <w:rFonts w:ascii="Garamond" w:hAnsi="Garamond"/>
          <w:smallCaps/>
          <w:sz w:val="26"/>
          <w:szCs w:val="26"/>
        </w:rPr>
        <w:t xml:space="preserve"> G</w:t>
      </w:r>
      <w:r w:rsidRPr="00815147">
        <w:rPr>
          <w:rFonts w:ascii="Garamond" w:hAnsi="Garamond"/>
          <w:sz w:val="26"/>
          <w:szCs w:val="26"/>
        </w:rPr>
        <w:t xml:space="preserve">., </w:t>
      </w:r>
      <w:r w:rsidRPr="00815147">
        <w:rPr>
          <w:rFonts w:ascii="Garamond" w:hAnsi="Garamond"/>
          <w:i/>
          <w:iCs/>
          <w:sz w:val="26"/>
          <w:szCs w:val="26"/>
        </w:rPr>
        <w:t>Paesaggio</w:t>
      </w:r>
      <w:r w:rsidRPr="00815147">
        <w:rPr>
          <w:rFonts w:ascii="Garamond" w:hAnsi="Garamond"/>
          <w:sz w:val="26"/>
          <w:szCs w:val="26"/>
        </w:rPr>
        <w:t xml:space="preserve">, en C. Barbati, M. Cammelli, L. Casini, G. </w:t>
      </w:r>
      <w:proofErr w:type="spellStart"/>
      <w:r w:rsidRPr="00815147">
        <w:rPr>
          <w:rFonts w:ascii="Garamond" w:hAnsi="Garamond"/>
          <w:sz w:val="26"/>
          <w:szCs w:val="26"/>
        </w:rPr>
        <w:t>Piperata</w:t>
      </w:r>
      <w:proofErr w:type="spellEnd"/>
      <w:r w:rsidRPr="00815147">
        <w:rPr>
          <w:rFonts w:ascii="Garamond" w:hAnsi="Garamond"/>
          <w:sz w:val="26"/>
          <w:szCs w:val="26"/>
        </w:rPr>
        <w:t xml:space="preserve">, G. Sciullo, </w:t>
      </w:r>
      <w:r w:rsidRPr="00815147">
        <w:rPr>
          <w:rFonts w:ascii="Garamond" w:hAnsi="Garamond"/>
          <w:i/>
          <w:sz w:val="26"/>
          <w:szCs w:val="26"/>
        </w:rPr>
        <w:t>Diritto del patrimonio culturale</w:t>
      </w:r>
      <w:r w:rsidRPr="00815147">
        <w:rPr>
          <w:rFonts w:ascii="Garamond" w:hAnsi="Garamond"/>
          <w:sz w:val="26"/>
          <w:szCs w:val="26"/>
        </w:rPr>
        <w:t>, cit., 274.</w:t>
      </w:r>
    </w:p>
    <w:p w14:paraId="4AF8689D" w14:textId="77777777" w:rsidR="00A92B08" w:rsidRPr="00815147" w:rsidRDefault="00A92B08" w:rsidP="00A92B08">
      <w:pPr>
        <w:rPr>
          <w:rFonts w:ascii="Garamond" w:hAnsi="Garamond"/>
          <w:sz w:val="26"/>
          <w:szCs w:val="26"/>
        </w:rPr>
      </w:pPr>
      <w:r w:rsidRPr="00815147">
        <w:rPr>
          <w:rFonts w:ascii="Garamond" w:hAnsi="Garamond"/>
          <w:smallCaps/>
          <w:sz w:val="26"/>
          <w:szCs w:val="26"/>
        </w:rPr>
        <w:t>Sciullo G.</w:t>
      </w:r>
      <w:r w:rsidRPr="00815147">
        <w:rPr>
          <w:rFonts w:ascii="Garamond" w:hAnsi="Garamond"/>
          <w:sz w:val="26"/>
          <w:szCs w:val="26"/>
        </w:rPr>
        <w:t xml:space="preserve">, </w:t>
      </w:r>
      <w:r w:rsidRPr="00815147">
        <w:rPr>
          <w:rFonts w:ascii="Garamond" w:hAnsi="Garamond"/>
          <w:i/>
          <w:sz w:val="26"/>
          <w:szCs w:val="26"/>
        </w:rPr>
        <w:t xml:space="preserve">I vincoli paesaggistici «ex lege» origine e «ratio», </w:t>
      </w:r>
      <w:proofErr w:type="spellStart"/>
      <w:r w:rsidRPr="00815147">
        <w:rPr>
          <w:rFonts w:ascii="Garamond" w:hAnsi="Garamond"/>
          <w:i/>
          <w:sz w:val="26"/>
          <w:szCs w:val="26"/>
        </w:rPr>
        <w:t>Aedon</w:t>
      </w:r>
      <w:proofErr w:type="spellEnd"/>
      <w:r w:rsidRPr="00815147">
        <w:rPr>
          <w:rFonts w:ascii="Garamond" w:hAnsi="Garamond"/>
          <w:sz w:val="26"/>
          <w:szCs w:val="26"/>
        </w:rPr>
        <w:t xml:space="preserve">, 2012; </w:t>
      </w:r>
    </w:p>
    <w:p w14:paraId="36D21C23" w14:textId="77777777" w:rsidR="00A92B08" w:rsidRPr="00815147" w:rsidRDefault="00A92B08" w:rsidP="00A92B08">
      <w:pPr>
        <w:rPr>
          <w:rFonts w:ascii="Garamond" w:hAnsi="Garamond"/>
          <w:sz w:val="26"/>
          <w:szCs w:val="26"/>
        </w:rPr>
      </w:pPr>
      <w:r w:rsidRPr="00815147">
        <w:rPr>
          <w:rFonts w:ascii="Garamond" w:hAnsi="Garamond"/>
          <w:smallCaps/>
          <w:sz w:val="26"/>
          <w:szCs w:val="26"/>
        </w:rPr>
        <w:t>Id.</w:t>
      </w:r>
      <w:r w:rsidRPr="00815147">
        <w:rPr>
          <w:rFonts w:ascii="Garamond" w:hAnsi="Garamond"/>
          <w:sz w:val="26"/>
          <w:szCs w:val="26"/>
        </w:rPr>
        <w:t xml:space="preserve">, </w:t>
      </w:r>
      <w:r w:rsidRPr="00815147">
        <w:rPr>
          <w:rFonts w:ascii="Garamond" w:hAnsi="Garamond"/>
          <w:i/>
          <w:sz w:val="26"/>
          <w:szCs w:val="26"/>
        </w:rPr>
        <w:t xml:space="preserve">A proposito delle valutazioni di compatibilità rispetto a vincoli storico artistici e paesaggistici, </w:t>
      </w:r>
      <w:proofErr w:type="spellStart"/>
      <w:r w:rsidRPr="00815147">
        <w:rPr>
          <w:rFonts w:ascii="Garamond" w:hAnsi="Garamond"/>
          <w:i/>
          <w:sz w:val="26"/>
          <w:szCs w:val="26"/>
        </w:rPr>
        <w:t>Aedo</w:t>
      </w:r>
      <w:r w:rsidRPr="00815147">
        <w:rPr>
          <w:rFonts w:ascii="Garamond" w:hAnsi="Garamond"/>
          <w:sz w:val="26"/>
          <w:szCs w:val="26"/>
        </w:rPr>
        <w:t>n</w:t>
      </w:r>
      <w:proofErr w:type="spellEnd"/>
      <w:r w:rsidRPr="00815147">
        <w:rPr>
          <w:rFonts w:ascii="Garamond" w:hAnsi="Garamond"/>
          <w:sz w:val="26"/>
          <w:szCs w:val="26"/>
        </w:rPr>
        <w:t>, 2018.</w:t>
      </w:r>
    </w:p>
    <w:p w14:paraId="358E4108" w14:textId="77777777" w:rsidR="00A92B08" w:rsidRPr="00815147" w:rsidRDefault="00A92B08" w:rsidP="00A92B08">
      <w:pPr>
        <w:jc w:val="both"/>
        <w:rPr>
          <w:rFonts w:ascii="Garamond" w:eastAsia="Calibri" w:hAnsi="Garamond"/>
          <w:sz w:val="26"/>
          <w:szCs w:val="26"/>
          <w:u w:val="single"/>
          <w:lang w:eastAsia="en-US" w:bidi="ar-SA"/>
        </w:rPr>
      </w:pPr>
    </w:p>
    <w:p w14:paraId="2D61B356" w14:textId="77777777" w:rsidR="00A92B08" w:rsidRPr="008148BA" w:rsidRDefault="00A92B08" w:rsidP="00A92B08">
      <w:pPr>
        <w:jc w:val="both"/>
        <w:rPr>
          <w:rFonts w:ascii="Garamond" w:hAnsi="Garamond"/>
          <w:sz w:val="26"/>
          <w:szCs w:val="26"/>
        </w:rPr>
      </w:pPr>
    </w:p>
    <w:p w14:paraId="1829C582" w14:textId="77777777" w:rsidR="00A92B08" w:rsidRPr="008148BA" w:rsidRDefault="00A92B08" w:rsidP="00A92B08">
      <w:pPr>
        <w:contextualSpacing/>
        <w:jc w:val="both"/>
        <w:rPr>
          <w:rFonts w:ascii="Garamond" w:hAnsi="Garamond"/>
          <w:sz w:val="26"/>
          <w:szCs w:val="26"/>
          <w:u w:val="single"/>
        </w:rPr>
      </w:pPr>
      <w:r w:rsidRPr="00815147">
        <w:rPr>
          <w:rFonts w:ascii="Garamond" w:hAnsi="Garamond"/>
          <w:sz w:val="26"/>
          <w:szCs w:val="26"/>
          <w:u w:val="single"/>
        </w:rPr>
        <w:t>La fruizione del patrimonio culturale da parte delle categorie deboli</w:t>
      </w:r>
    </w:p>
    <w:p w14:paraId="158AC8D9" w14:textId="77777777" w:rsidR="00A92B08" w:rsidRPr="008148BA" w:rsidRDefault="00A92B08" w:rsidP="00A92B08">
      <w:pPr>
        <w:ind w:left="720"/>
        <w:contextualSpacing/>
        <w:jc w:val="both"/>
        <w:rPr>
          <w:rFonts w:ascii="Garamond" w:hAnsi="Garamond"/>
          <w:sz w:val="26"/>
          <w:szCs w:val="26"/>
        </w:rPr>
      </w:pPr>
    </w:p>
    <w:p w14:paraId="0847DE4A" w14:textId="77777777" w:rsidR="00A92B08" w:rsidRDefault="00A92B08" w:rsidP="00A92B08">
      <w:pPr>
        <w:jc w:val="both"/>
        <w:rPr>
          <w:rFonts w:ascii="Garamond" w:hAnsi="Garamond"/>
          <w:sz w:val="26"/>
          <w:szCs w:val="26"/>
        </w:rPr>
      </w:pPr>
      <w:r w:rsidRPr="008148BA">
        <w:rPr>
          <w:rFonts w:ascii="Garamond" w:hAnsi="Garamond"/>
          <w:sz w:val="26"/>
          <w:szCs w:val="26"/>
        </w:rPr>
        <w:t>CARMOSINO</w:t>
      </w:r>
      <w:r>
        <w:rPr>
          <w:rFonts w:ascii="Garamond" w:hAnsi="Garamond"/>
          <w:sz w:val="26"/>
          <w:szCs w:val="26"/>
        </w:rPr>
        <w:t xml:space="preserve"> C.</w:t>
      </w:r>
      <w:r w:rsidRPr="008148BA">
        <w:rPr>
          <w:rFonts w:ascii="Garamond" w:hAnsi="Garamond"/>
          <w:sz w:val="26"/>
          <w:szCs w:val="26"/>
        </w:rPr>
        <w:t xml:space="preserve">, </w:t>
      </w:r>
      <w:r w:rsidRPr="008148BA">
        <w:rPr>
          <w:rFonts w:ascii="Garamond" w:hAnsi="Garamond"/>
          <w:i/>
          <w:sz w:val="26"/>
          <w:szCs w:val="26"/>
        </w:rPr>
        <w:t>Le modalità e i luoghi della fruizione</w:t>
      </w:r>
      <w:r w:rsidRPr="008148BA">
        <w:rPr>
          <w:rFonts w:ascii="Garamond" w:hAnsi="Garamond"/>
          <w:sz w:val="26"/>
          <w:szCs w:val="26"/>
        </w:rPr>
        <w:t xml:space="preserve">, in, </w:t>
      </w:r>
      <w:r w:rsidRPr="008148BA">
        <w:rPr>
          <w:rFonts w:ascii="Garamond" w:hAnsi="Garamond"/>
          <w:i/>
          <w:sz w:val="26"/>
          <w:szCs w:val="26"/>
        </w:rPr>
        <w:t>La globalizzazione dei beni culturali</w:t>
      </w:r>
      <w:r w:rsidRPr="008148BA">
        <w:rPr>
          <w:rFonts w:ascii="Garamond" w:hAnsi="Garamond"/>
          <w:sz w:val="26"/>
          <w:szCs w:val="26"/>
        </w:rPr>
        <w:t>, a cura di CASINI</w:t>
      </w:r>
      <w:r>
        <w:rPr>
          <w:rFonts w:ascii="Garamond" w:hAnsi="Garamond"/>
          <w:sz w:val="26"/>
          <w:szCs w:val="26"/>
        </w:rPr>
        <w:t xml:space="preserve"> L.</w:t>
      </w:r>
      <w:r w:rsidRPr="008148BA">
        <w:rPr>
          <w:rFonts w:ascii="Garamond" w:hAnsi="Garamond"/>
          <w:sz w:val="26"/>
          <w:szCs w:val="26"/>
        </w:rPr>
        <w:t>, Il Mulino, Bologna, 2010</w:t>
      </w:r>
    </w:p>
    <w:p w14:paraId="48276BDD" w14:textId="77777777" w:rsidR="00A92B08" w:rsidRPr="008148BA" w:rsidRDefault="00A92B08" w:rsidP="00A92B08">
      <w:pPr>
        <w:jc w:val="both"/>
        <w:rPr>
          <w:rFonts w:ascii="Garamond" w:hAnsi="Garamond"/>
          <w:sz w:val="26"/>
          <w:szCs w:val="26"/>
        </w:rPr>
      </w:pPr>
      <w:r w:rsidRPr="008148BA">
        <w:rPr>
          <w:rFonts w:ascii="Garamond" w:hAnsi="Garamond"/>
          <w:sz w:val="26"/>
          <w:szCs w:val="26"/>
        </w:rPr>
        <w:t>CAVALIERI</w:t>
      </w:r>
      <w:r>
        <w:rPr>
          <w:rFonts w:ascii="Garamond" w:hAnsi="Garamond"/>
          <w:sz w:val="26"/>
          <w:szCs w:val="26"/>
        </w:rPr>
        <w:t xml:space="preserve"> E.</w:t>
      </w:r>
      <w:r w:rsidRPr="008148BA">
        <w:rPr>
          <w:rFonts w:ascii="Garamond" w:hAnsi="Garamond"/>
          <w:sz w:val="26"/>
          <w:szCs w:val="26"/>
        </w:rPr>
        <w:t xml:space="preserve">, </w:t>
      </w:r>
      <w:r w:rsidRPr="008148BA">
        <w:rPr>
          <w:rFonts w:ascii="Garamond" w:hAnsi="Garamond"/>
          <w:i/>
          <w:sz w:val="26"/>
          <w:szCs w:val="26"/>
        </w:rPr>
        <w:t>I modelli gestionali: il management museale</w:t>
      </w:r>
      <w:r w:rsidRPr="008148BA">
        <w:rPr>
          <w:rFonts w:ascii="Garamond" w:hAnsi="Garamond"/>
          <w:sz w:val="26"/>
          <w:szCs w:val="26"/>
        </w:rPr>
        <w:t xml:space="preserve">, in </w:t>
      </w:r>
      <w:r w:rsidRPr="008148BA">
        <w:rPr>
          <w:rFonts w:ascii="Garamond" w:hAnsi="Garamond"/>
          <w:i/>
          <w:sz w:val="26"/>
          <w:szCs w:val="26"/>
        </w:rPr>
        <w:t>La globalizzazione dei beni culturali</w:t>
      </w:r>
      <w:r w:rsidRPr="008148BA">
        <w:rPr>
          <w:rFonts w:ascii="Garamond" w:hAnsi="Garamond"/>
          <w:sz w:val="26"/>
          <w:szCs w:val="26"/>
        </w:rPr>
        <w:t>, a cura di L. CASINI, Il Mulino, Bologna, 2010</w:t>
      </w:r>
    </w:p>
    <w:p w14:paraId="2B61D2DB" w14:textId="77777777" w:rsidR="00A92B08" w:rsidRPr="008148BA" w:rsidRDefault="00A92B08" w:rsidP="00A92B08">
      <w:pPr>
        <w:jc w:val="both"/>
        <w:rPr>
          <w:rFonts w:ascii="Garamond" w:hAnsi="Garamond"/>
          <w:sz w:val="26"/>
          <w:szCs w:val="26"/>
        </w:rPr>
      </w:pPr>
      <w:r w:rsidRPr="008148BA">
        <w:rPr>
          <w:rFonts w:ascii="Garamond" w:hAnsi="Garamond"/>
          <w:sz w:val="26"/>
          <w:szCs w:val="26"/>
        </w:rPr>
        <w:t>SERRA</w:t>
      </w:r>
      <w:r>
        <w:rPr>
          <w:rFonts w:ascii="Garamond" w:hAnsi="Garamond"/>
          <w:sz w:val="26"/>
          <w:szCs w:val="26"/>
        </w:rPr>
        <w:t xml:space="preserve"> A.</w:t>
      </w:r>
      <w:r w:rsidRPr="008148BA">
        <w:rPr>
          <w:rFonts w:ascii="Garamond" w:hAnsi="Garamond"/>
          <w:sz w:val="26"/>
          <w:szCs w:val="26"/>
        </w:rPr>
        <w:t xml:space="preserve">, </w:t>
      </w:r>
      <w:r w:rsidRPr="008148BA">
        <w:rPr>
          <w:rFonts w:ascii="Garamond" w:hAnsi="Garamond"/>
          <w:i/>
          <w:sz w:val="26"/>
          <w:szCs w:val="26"/>
        </w:rPr>
        <w:t>Patrimonio culturale e nuove tecnologie: la fruizione virtuale</w:t>
      </w:r>
      <w:r w:rsidRPr="008148BA">
        <w:rPr>
          <w:rFonts w:ascii="Garamond" w:hAnsi="Garamond"/>
          <w:sz w:val="26"/>
          <w:szCs w:val="26"/>
        </w:rPr>
        <w:t xml:space="preserve">, in </w:t>
      </w:r>
      <w:r w:rsidRPr="008148BA">
        <w:rPr>
          <w:rFonts w:ascii="Garamond" w:hAnsi="Garamond"/>
          <w:i/>
          <w:sz w:val="26"/>
          <w:szCs w:val="26"/>
        </w:rPr>
        <w:t>La globalizzazione dei beni culturali</w:t>
      </w:r>
      <w:r w:rsidRPr="008148BA">
        <w:rPr>
          <w:rFonts w:ascii="Garamond" w:hAnsi="Garamond"/>
          <w:sz w:val="26"/>
          <w:szCs w:val="26"/>
        </w:rPr>
        <w:t>, a cura di L. CASINI, Il Mulino, Bologna, 2010</w:t>
      </w:r>
    </w:p>
    <w:p w14:paraId="62E2DFAB" w14:textId="77777777" w:rsidR="00A92B08" w:rsidRPr="008148BA" w:rsidRDefault="00A92B08" w:rsidP="00A92B08">
      <w:pPr>
        <w:jc w:val="both"/>
        <w:rPr>
          <w:rFonts w:ascii="Garamond" w:hAnsi="Garamond"/>
          <w:sz w:val="26"/>
          <w:szCs w:val="26"/>
        </w:rPr>
      </w:pPr>
      <w:r w:rsidRPr="008148BA">
        <w:rPr>
          <w:rFonts w:ascii="Garamond" w:hAnsi="Garamond"/>
          <w:sz w:val="26"/>
          <w:szCs w:val="26"/>
        </w:rPr>
        <w:t>VITALE</w:t>
      </w:r>
      <w:r>
        <w:rPr>
          <w:rFonts w:ascii="Garamond" w:hAnsi="Garamond"/>
          <w:sz w:val="26"/>
          <w:szCs w:val="26"/>
        </w:rPr>
        <w:t xml:space="preserve"> C.</w:t>
      </w:r>
      <w:r w:rsidRPr="008148BA">
        <w:rPr>
          <w:rFonts w:ascii="Garamond" w:hAnsi="Garamond"/>
          <w:sz w:val="26"/>
          <w:szCs w:val="26"/>
        </w:rPr>
        <w:t xml:space="preserve">, </w:t>
      </w:r>
      <w:r w:rsidRPr="008148BA">
        <w:rPr>
          <w:rFonts w:ascii="Garamond" w:hAnsi="Garamond"/>
          <w:i/>
          <w:sz w:val="26"/>
          <w:szCs w:val="26"/>
        </w:rPr>
        <w:t>La fruizione dei beni culturali tra ordinamento internazionale ed europeo</w:t>
      </w:r>
      <w:r w:rsidRPr="008148BA">
        <w:rPr>
          <w:rFonts w:ascii="Garamond" w:hAnsi="Garamond"/>
          <w:sz w:val="26"/>
          <w:szCs w:val="26"/>
        </w:rPr>
        <w:t xml:space="preserve">, in </w:t>
      </w:r>
      <w:r w:rsidRPr="008148BA">
        <w:rPr>
          <w:rFonts w:ascii="Garamond" w:hAnsi="Garamond"/>
          <w:i/>
          <w:sz w:val="26"/>
          <w:szCs w:val="26"/>
        </w:rPr>
        <w:t>La globalizzazione dei beni culturali</w:t>
      </w:r>
      <w:r w:rsidRPr="008148BA">
        <w:rPr>
          <w:rFonts w:ascii="Garamond" w:hAnsi="Garamond"/>
          <w:sz w:val="26"/>
          <w:szCs w:val="26"/>
        </w:rPr>
        <w:t>, a cura di L. CASINI, Il Mulino, Bologna, 2010</w:t>
      </w:r>
    </w:p>
    <w:p w14:paraId="34AB813B" w14:textId="77777777" w:rsidR="00A92B08" w:rsidRPr="008148BA" w:rsidRDefault="00A92B08" w:rsidP="00A92B08">
      <w:pPr>
        <w:numPr>
          <w:ilvl w:val="0"/>
          <w:numId w:val="1"/>
        </w:numPr>
        <w:spacing w:after="160" w:line="259" w:lineRule="auto"/>
        <w:jc w:val="both"/>
        <w:rPr>
          <w:rFonts w:ascii="Garamond" w:hAnsi="Garamond"/>
          <w:i/>
          <w:sz w:val="26"/>
          <w:szCs w:val="26"/>
        </w:rPr>
      </w:pPr>
      <w:hyperlink r:id="rId5" w:history="1">
        <w:r w:rsidRPr="00815147">
          <w:rPr>
            <w:rFonts w:ascii="Garamond" w:eastAsiaTheme="majorEastAsia" w:hAnsi="Garamond"/>
            <w:color w:val="0563C1" w:themeColor="hyperlink"/>
            <w:sz w:val="26"/>
            <w:szCs w:val="26"/>
            <w:u w:val="single"/>
          </w:rPr>
          <w:t>https://en.unesco.org/</w:t>
        </w:r>
      </w:hyperlink>
      <w:r w:rsidRPr="008148BA">
        <w:rPr>
          <w:rFonts w:ascii="Garamond" w:hAnsi="Garamond"/>
          <w:i/>
          <w:sz w:val="26"/>
          <w:szCs w:val="26"/>
        </w:rPr>
        <w:t xml:space="preserve">  </w:t>
      </w:r>
    </w:p>
    <w:p w14:paraId="328993AB" w14:textId="77777777" w:rsidR="00A92B08" w:rsidRPr="008148BA" w:rsidRDefault="00A92B08" w:rsidP="00A92B08">
      <w:pPr>
        <w:numPr>
          <w:ilvl w:val="0"/>
          <w:numId w:val="1"/>
        </w:numPr>
        <w:spacing w:after="160" w:line="259" w:lineRule="auto"/>
        <w:jc w:val="both"/>
        <w:rPr>
          <w:rFonts w:ascii="Garamond" w:hAnsi="Garamond"/>
          <w:i/>
          <w:sz w:val="26"/>
          <w:szCs w:val="26"/>
        </w:rPr>
      </w:pPr>
      <w:hyperlink r:id="rId6" w:history="1">
        <w:r w:rsidRPr="00815147">
          <w:rPr>
            <w:rFonts w:ascii="Garamond" w:eastAsiaTheme="majorEastAsia" w:hAnsi="Garamond"/>
            <w:color w:val="0563C1" w:themeColor="hyperlink"/>
            <w:sz w:val="26"/>
            <w:szCs w:val="26"/>
            <w:u w:val="single"/>
          </w:rPr>
          <w:t>http://icom.museum/</w:t>
        </w:r>
      </w:hyperlink>
      <w:r w:rsidRPr="008148BA">
        <w:rPr>
          <w:rFonts w:ascii="Garamond" w:hAnsi="Garamond"/>
          <w:i/>
          <w:sz w:val="26"/>
          <w:szCs w:val="26"/>
        </w:rPr>
        <w:t xml:space="preserve"> </w:t>
      </w:r>
    </w:p>
    <w:p w14:paraId="7E58E68F" w14:textId="77777777" w:rsidR="00E45E7E" w:rsidRDefault="00A92B08">
      <w:bookmarkStart w:id="0" w:name="_GoBack"/>
      <w:bookmarkEnd w:id="0"/>
    </w:p>
    <w:sectPr w:rsidR="00E45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567C3"/>
    <w:multiLevelType w:val="hybridMultilevel"/>
    <w:tmpl w:val="B894B05E"/>
    <w:lvl w:ilvl="0" w:tplc="2820A1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5E"/>
    <w:rsid w:val="001430CB"/>
    <w:rsid w:val="0091015E"/>
    <w:rsid w:val="00A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177C-1A1C-43F7-9744-BBCBB5E5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92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m.museum/" TargetMode="External"/><Relationship Id="rId5" Type="http://schemas.openxmlformats.org/officeDocument/2006/relationships/hyperlink" Target="https://en.unesc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</dc:creator>
  <cp:keywords/>
  <dc:description/>
  <cp:lastModifiedBy>UAL</cp:lastModifiedBy>
  <cp:revision>2</cp:revision>
  <dcterms:created xsi:type="dcterms:W3CDTF">2024-10-07T15:33:00Z</dcterms:created>
  <dcterms:modified xsi:type="dcterms:W3CDTF">2024-10-07T15:33:00Z</dcterms:modified>
</cp:coreProperties>
</file>