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821C" w14:textId="14BFA05E" w:rsidR="00B42D68" w:rsidRDefault="00B42D68" w:rsidP="000819A9">
      <w:pPr>
        <w:pStyle w:val="Titolo2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Corso di laurea in lingue e culture straniere occidentali e orientali</w:t>
      </w:r>
    </w:p>
    <w:p w14:paraId="270B2E7F" w14:textId="68B9BA78" w:rsidR="00B42D68" w:rsidRDefault="00B42D68" w:rsidP="000819A9">
      <w:pPr>
        <w:pStyle w:val="Titolo2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Letteratura e cultura francese I anno</w:t>
      </w:r>
    </w:p>
    <w:p w14:paraId="452D7371" w14:textId="1677E641" w:rsidR="00B42D68" w:rsidRDefault="000819A9" w:rsidP="000819A9">
      <w:pPr>
        <w:pStyle w:val="Titolo2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819A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A.A. 2023/24 </w:t>
      </w:r>
    </w:p>
    <w:p w14:paraId="7A9571FF" w14:textId="6F7FB299" w:rsidR="000819A9" w:rsidRPr="000819A9" w:rsidRDefault="000819A9" w:rsidP="00B42D68">
      <w:pPr>
        <w:pStyle w:val="Titolo2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819A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Scrivere la </w:t>
      </w:r>
      <w:proofErr w:type="gramStart"/>
      <w:r w:rsidRPr="000819A9">
        <w:rPr>
          <w:rFonts w:ascii="Times New Roman" w:hAnsi="Times New Roman" w:cs="Times New Roman"/>
          <w:iCs/>
          <w:color w:val="auto"/>
          <w:sz w:val="28"/>
          <w:szCs w:val="28"/>
        </w:rPr>
        <w:t>città</w:t>
      </w:r>
      <w:r w:rsidR="00B42D68">
        <w:rPr>
          <w:rFonts w:ascii="Times New Roman" w:hAnsi="Times New Roman" w:cs="Times New Roman"/>
          <w:iCs/>
          <w:color w:val="auto"/>
          <w:sz w:val="28"/>
          <w:szCs w:val="28"/>
        </w:rPr>
        <w:t>:l’immaginario</w:t>
      </w:r>
      <w:proofErr w:type="gramEnd"/>
      <w:r w:rsidR="00B42D6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urbano nella letteratura francese del XX secolo</w:t>
      </w:r>
    </w:p>
    <w:p w14:paraId="18513ACE" w14:textId="6B0709A0" w:rsidR="000940B4" w:rsidRPr="000940B4" w:rsidRDefault="000940B4" w:rsidP="000940B4">
      <w:pPr>
        <w:pStyle w:val="NormaleWeb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0940B4">
        <w:rPr>
          <w:b/>
          <w:bCs/>
          <w:color w:val="000000"/>
          <w:sz w:val="28"/>
          <w:szCs w:val="28"/>
        </w:rPr>
        <w:t>Programma</w:t>
      </w:r>
    </w:p>
    <w:p w14:paraId="7B30ED51" w14:textId="7A2FB2B9" w:rsidR="000940B4" w:rsidRPr="000940B4" w:rsidRDefault="000940B4" w:rsidP="000940B4">
      <w:pPr>
        <w:pStyle w:val="NormaleWeb"/>
        <w:spacing w:before="0" w:beforeAutospacing="0" w:after="240" w:afterAutospacing="0"/>
        <w:jc w:val="both"/>
        <w:rPr>
          <w:color w:val="000000"/>
        </w:rPr>
      </w:pPr>
      <w:r w:rsidRPr="000940B4">
        <w:rPr>
          <w:color w:val="000000"/>
        </w:rPr>
        <w:t xml:space="preserve">Le lezioni </w:t>
      </w:r>
      <w:r>
        <w:rPr>
          <w:color w:val="000000"/>
        </w:rPr>
        <w:t>comprendono</w:t>
      </w:r>
      <w:r w:rsidRPr="000940B4">
        <w:rPr>
          <w:color w:val="000000"/>
        </w:rPr>
        <w:t xml:space="preserve"> due moduli:</w:t>
      </w:r>
    </w:p>
    <w:p w14:paraId="1F0D25C7" w14:textId="77777777" w:rsidR="000940B4" w:rsidRPr="000940B4" w:rsidRDefault="000940B4" w:rsidP="000940B4">
      <w:pPr>
        <w:pStyle w:val="NormaleWeb"/>
        <w:spacing w:before="0" w:beforeAutospacing="0" w:after="240" w:afterAutospacing="0"/>
        <w:jc w:val="both"/>
        <w:rPr>
          <w:color w:val="000000"/>
        </w:rPr>
      </w:pPr>
      <w:r w:rsidRPr="000940B4">
        <w:rPr>
          <w:color w:val="000000"/>
        </w:rPr>
        <w:t>1: lineamenti di storia della letteratura francese del XVI e XVII secolo;</w:t>
      </w:r>
    </w:p>
    <w:p w14:paraId="566F05C1" w14:textId="77777777" w:rsidR="000940B4" w:rsidRPr="000940B4" w:rsidRDefault="000940B4" w:rsidP="000940B4">
      <w:pPr>
        <w:pStyle w:val="NormaleWeb"/>
        <w:spacing w:before="0" w:beforeAutospacing="0" w:after="240" w:afterAutospacing="0"/>
        <w:jc w:val="both"/>
        <w:rPr>
          <w:color w:val="000000"/>
        </w:rPr>
      </w:pPr>
      <w:proofErr w:type="gramStart"/>
      <w:r w:rsidRPr="000940B4">
        <w:rPr>
          <w:color w:val="000000"/>
        </w:rPr>
        <w:t>2:Scrivere</w:t>
      </w:r>
      <w:proofErr w:type="gramEnd"/>
      <w:r w:rsidRPr="000940B4">
        <w:rPr>
          <w:color w:val="000000"/>
        </w:rPr>
        <w:t xml:space="preserve"> la città: l’immaginario urbano nella letteratura francese del XX secolo.</w:t>
      </w:r>
    </w:p>
    <w:p w14:paraId="7C3C9B5F" w14:textId="1801B9AC" w:rsidR="000940B4" w:rsidRPr="000940B4" w:rsidRDefault="000940B4" w:rsidP="000940B4">
      <w:pPr>
        <w:pStyle w:val="NormaleWeb"/>
        <w:spacing w:before="0" w:beforeAutospacing="0" w:after="240" w:afterAutospacing="0"/>
        <w:jc w:val="both"/>
        <w:rPr>
          <w:color w:val="000000"/>
        </w:rPr>
      </w:pPr>
      <w:r w:rsidRPr="000940B4">
        <w:rPr>
          <w:color w:val="000000"/>
        </w:rPr>
        <w:t>Dopo una breve panoramica sulle diverse modalità con cui la letteratura, nei vari secoli, ha rappresentato la città, mostrata ora come mito, ora come personaggio vero e proprio , ora come semplice ambientazione su cui sviluppare storie immaginarie, verranno prese in considerazione le opere di due autori, Julien Green</w:t>
      </w:r>
      <w:r w:rsidR="004D51B0">
        <w:rPr>
          <w:color w:val="000000"/>
        </w:rPr>
        <w:t xml:space="preserve"> e </w:t>
      </w:r>
      <w:r w:rsidRPr="000940B4">
        <w:rPr>
          <w:color w:val="000000"/>
        </w:rPr>
        <w:t>Sylvie Germain che ben esprimono l’evoluzione della rappresentazione urbana nella letteratura del 1900, specialmente in relazione alle città di Parigi e Praga : nelle loro opere l’iscrizione della città nel tessuto narrativo si presenta come la modalità più adeguata per esprimere le profonde mutazioni sociali e culturali della post-modernità.</w:t>
      </w:r>
    </w:p>
    <w:p w14:paraId="3C2178AF" w14:textId="708924DC" w:rsidR="000940B4" w:rsidRPr="000940B4" w:rsidRDefault="000940B4" w:rsidP="000940B4">
      <w:pPr>
        <w:rPr>
          <w:color w:val="000000"/>
        </w:rPr>
      </w:pPr>
      <w:proofErr w:type="gramStart"/>
      <w:r w:rsidRPr="000940B4">
        <w:rPr>
          <w:rStyle w:val="Enfasigrassetto"/>
          <w:rFonts w:eastAsiaTheme="majorEastAsia"/>
          <w:color w:val="000000"/>
        </w:rPr>
        <w:t xml:space="preserve">Testi </w:t>
      </w:r>
      <w:r w:rsidR="003441B4">
        <w:rPr>
          <w:rStyle w:val="Enfasigrassetto"/>
          <w:rFonts w:eastAsiaTheme="majorEastAsia"/>
          <w:color w:val="000000"/>
        </w:rPr>
        <w:t xml:space="preserve"> a</w:t>
      </w:r>
      <w:r w:rsidRPr="000940B4">
        <w:rPr>
          <w:rStyle w:val="Enfasigrassetto"/>
          <w:rFonts w:eastAsiaTheme="majorEastAsia"/>
          <w:color w:val="000000"/>
        </w:rPr>
        <w:t>dottati</w:t>
      </w:r>
      <w:proofErr w:type="gramEnd"/>
    </w:p>
    <w:p w14:paraId="48EDD853" w14:textId="3B30AD8C" w:rsidR="004D51B0" w:rsidRDefault="000555F9" w:rsidP="000555F9">
      <w:pPr>
        <w:pStyle w:val="NormaleWeb"/>
        <w:spacing w:before="0" w:beforeAutospacing="0" w:after="240" w:afterAutospacing="0"/>
        <w:rPr>
          <w:color w:val="000000"/>
        </w:rPr>
      </w:pPr>
      <w:r w:rsidRPr="000555F9">
        <w:rPr>
          <w:b/>
          <w:bCs/>
          <w:color w:val="000000"/>
        </w:rPr>
        <w:t>1.</w:t>
      </w:r>
      <w:r w:rsidR="000940B4" w:rsidRPr="000940B4">
        <w:rPr>
          <w:color w:val="000000"/>
        </w:rPr>
        <w:t xml:space="preserve">AA.VV., </w:t>
      </w:r>
      <w:r w:rsidR="000940B4" w:rsidRPr="000940B4">
        <w:rPr>
          <w:i/>
          <w:iCs/>
          <w:color w:val="000000"/>
        </w:rPr>
        <w:t>Storia della letteratura francese</w:t>
      </w:r>
      <w:r w:rsidR="000940B4" w:rsidRPr="000940B4">
        <w:rPr>
          <w:color w:val="000000"/>
        </w:rPr>
        <w:t>, Genova, Cideb,1999</w:t>
      </w:r>
      <w:r w:rsidR="004D51B0">
        <w:rPr>
          <w:color w:val="000000"/>
        </w:rPr>
        <w:t>:</w:t>
      </w:r>
      <w:r w:rsidR="002D162D">
        <w:rPr>
          <w:color w:val="000000"/>
        </w:rPr>
        <w:t xml:space="preserve">(o un altro manuale </w:t>
      </w:r>
      <w:proofErr w:type="gramStart"/>
      <w:r w:rsidR="002D162D">
        <w:rPr>
          <w:color w:val="000000"/>
        </w:rPr>
        <w:t>di  storia</w:t>
      </w:r>
      <w:proofErr w:type="gramEnd"/>
      <w:r w:rsidR="002D162D">
        <w:rPr>
          <w:color w:val="000000"/>
        </w:rPr>
        <w:t xml:space="preserve"> della letteratura francese)</w:t>
      </w:r>
    </w:p>
    <w:p w14:paraId="37002A33" w14:textId="6102F13F" w:rsidR="000940B4" w:rsidRPr="000940B4" w:rsidRDefault="000940B4" w:rsidP="004D51B0">
      <w:pPr>
        <w:pStyle w:val="NormaleWeb"/>
        <w:spacing w:before="0" w:beforeAutospacing="0" w:after="240" w:afterAutospacing="0"/>
        <w:ind w:left="360"/>
        <w:rPr>
          <w:color w:val="000000"/>
        </w:rPr>
      </w:pPr>
      <w:r w:rsidRPr="000940B4">
        <w:rPr>
          <w:color w:val="000000"/>
        </w:rPr>
        <w:t> -</w:t>
      </w:r>
      <w:r w:rsidRPr="00667B88">
        <w:rPr>
          <w:i/>
          <w:iCs/>
          <w:color w:val="000000"/>
        </w:rPr>
        <w:t>Il XVI secolo</w:t>
      </w:r>
      <w:r w:rsidRPr="000940B4">
        <w:rPr>
          <w:color w:val="000000"/>
        </w:rPr>
        <w:t>, pp. 185-303.</w:t>
      </w:r>
    </w:p>
    <w:p w14:paraId="1C5FC491" w14:textId="2883001B" w:rsidR="000940B4" w:rsidRDefault="000940B4" w:rsidP="000940B4">
      <w:pPr>
        <w:pStyle w:val="NormaleWeb"/>
        <w:spacing w:before="0" w:beforeAutospacing="0" w:after="240" w:afterAutospacing="0"/>
        <w:rPr>
          <w:color w:val="000000"/>
        </w:rPr>
      </w:pPr>
      <w:r w:rsidRPr="000940B4">
        <w:rPr>
          <w:color w:val="000000"/>
        </w:rPr>
        <w:t>        -</w:t>
      </w:r>
      <w:r w:rsidRPr="00667B88">
        <w:rPr>
          <w:i/>
          <w:iCs/>
          <w:color w:val="000000"/>
        </w:rPr>
        <w:t>Il XVII secolo</w:t>
      </w:r>
      <w:r w:rsidRPr="000940B4">
        <w:rPr>
          <w:color w:val="000000"/>
        </w:rPr>
        <w:t>, pp.309-405.</w:t>
      </w:r>
    </w:p>
    <w:p w14:paraId="4F396E6E" w14:textId="77777777" w:rsidR="00667B88" w:rsidRDefault="00667B88" w:rsidP="000940B4">
      <w:pPr>
        <w:pStyle w:val="NormaleWeb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Una ulteriore edizione di questo stesso manuale di letteratura presente in biblioteca suddivide diversamente i contenuti relativi ai secoli da </w:t>
      </w:r>
      <w:proofErr w:type="gramStart"/>
      <w:r>
        <w:rPr>
          <w:color w:val="000000"/>
        </w:rPr>
        <w:t>studiare :</w:t>
      </w:r>
      <w:proofErr w:type="gramEnd"/>
    </w:p>
    <w:p w14:paraId="797CB5B9" w14:textId="5C8AADC6" w:rsidR="00667B88" w:rsidRDefault="00667B88" w:rsidP="000940B4">
      <w:pPr>
        <w:pStyle w:val="NormaleWeb"/>
        <w:spacing w:before="0" w:beforeAutospacing="0" w:after="240" w:afterAutospacing="0"/>
        <w:rPr>
          <w:color w:val="000000"/>
        </w:rPr>
      </w:pPr>
      <w:r>
        <w:rPr>
          <w:color w:val="000000"/>
        </w:rPr>
        <w:t>-</w:t>
      </w:r>
      <w:r w:rsidRPr="00667B88">
        <w:rPr>
          <w:i/>
          <w:iCs/>
          <w:color w:val="000000"/>
        </w:rPr>
        <w:t>Dal medioevo al XVI secolo</w:t>
      </w:r>
      <w:r>
        <w:rPr>
          <w:color w:val="000000"/>
        </w:rPr>
        <w:t>, Tomo I, parte I,pp.83-182;</w:t>
      </w:r>
    </w:p>
    <w:p w14:paraId="467A1A50" w14:textId="6AEA3437" w:rsidR="00667B88" w:rsidRPr="000940B4" w:rsidRDefault="00667B88" w:rsidP="000940B4">
      <w:pPr>
        <w:pStyle w:val="NormaleWeb"/>
        <w:spacing w:before="0" w:beforeAutospacing="0" w:after="240" w:afterAutospacing="0"/>
        <w:rPr>
          <w:color w:val="000000"/>
        </w:rPr>
      </w:pPr>
      <w:r>
        <w:rPr>
          <w:color w:val="000000"/>
        </w:rPr>
        <w:t>-</w:t>
      </w:r>
      <w:r w:rsidRPr="00667B88">
        <w:rPr>
          <w:i/>
          <w:iCs/>
          <w:color w:val="000000"/>
        </w:rPr>
        <w:t>Il XVII secolo</w:t>
      </w:r>
      <w:r>
        <w:rPr>
          <w:color w:val="000000"/>
        </w:rPr>
        <w:t>, tomo I, parte II, (fino a p. 303)</w:t>
      </w:r>
    </w:p>
    <w:p w14:paraId="2104A095" w14:textId="77777777" w:rsidR="000940B4" w:rsidRPr="000940B4" w:rsidRDefault="000940B4" w:rsidP="000940B4">
      <w:pPr>
        <w:pStyle w:val="NormaleWeb"/>
        <w:spacing w:before="0" w:beforeAutospacing="0" w:after="240" w:afterAutospacing="0"/>
        <w:rPr>
          <w:color w:val="000000"/>
        </w:rPr>
      </w:pPr>
      <w:r w:rsidRPr="002D162D">
        <w:rPr>
          <w:b/>
          <w:bCs/>
          <w:color w:val="000000"/>
        </w:rPr>
        <w:t>2.</w:t>
      </w:r>
      <w:r w:rsidRPr="000940B4">
        <w:rPr>
          <w:color w:val="000000"/>
        </w:rPr>
        <w:t xml:space="preserve">Julien </w:t>
      </w:r>
      <w:proofErr w:type="gramStart"/>
      <w:r w:rsidRPr="000940B4">
        <w:rPr>
          <w:color w:val="000000"/>
        </w:rPr>
        <w:t>Green ,</w:t>
      </w:r>
      <w:proofErr w:type="gramEnd"/>
      <w:r w:rsidRPr="000940B4">
        <w:rPr>
          <w:color w:val="000000"/>
        </w:rPr>
        <w:t xml:space="preserve"> </w:t>
      </w:r>
      <w:r w:rsidRPr="000940B4">
        <w:rPr>
          <w:i/>
          <w:iCs/>
          <w:color w:val="000000"/>
        </w:rPr>
        <w:t>Si j’étais vous</w:t>
      </w:r>
      <w:r w:rsidRPr="000940B4">
        <w:rPr>
          <w:color w:val="000000"/>
        </w:rPr>
        <w:t xml:space="preserve"> , Paris, Fayard poche, 1993(o altra edizione);</w:t>
      </w:r>
    </w:p>
    <w:p w14:paraId="4991268E" w14:textId="44C9FA39" w:rsidR="000940B4" w:rsidRPr="000940B4" w:rsidRDefault="000940B4" w:rsidP="000940B4">
      <w:pPr>
        <w:pStyle w:val="NormaleWeb"/>
        <w:spacing w:before="0" w:beforeAutospacing="0" w:after="240" w:afterAutospacing="0"/>
        <w:rPr>
          <w:color w:val="000000"/>
        </w:rPr>
      </w:pPr>
      <w:r w:rsidRPr="002D162D">
        <w:rPr>
          <w:b/>
          <w:bCs/>
          <w:color w:val="000000"/>
        </w:rPr>
        <w:t>3</w:t>
      </w:r>
      <w:r w:rsidRPr="000940B4">
        <w:rPr>
          <w:color w:val="000000"/>
        </w:rPr>
        <w:t xml:space="preserve">.Sylvie Germain, </w:t>
      </w:r>
      <w:r w:rsidRPr="000940B4">
        <w:rPr>
          <w:i/>
          <w:iCs/>
          <w:color w:val="000000"/>
        </w:rPr>
        <w:t>Eclats de sel</w:t>
      </w:r>
      <w:r w:rsidRPr="000940B4">
        <w:rPr>
          <w:color w:val="000000"/>
        </w:rPr>
        <w:t>, Paris, Gallimard, 1997(o altra edizione</w:t>
      </w:r>
      <w:r w:rsidR="004D51B0">
        <w:rPr>
          <w:color w:val="000000"/>
        </w:rPr>
        <w:t xml:space="preserve"> de poche</w:t>
      </w:r>
      <w:proofErr w:type="gramStart"/>
      <w:r w:rsidRPr="000940B4">
        <w:rPr>
          <w:color w:val="000000"/>
        </w:rPr>
        <w:t>) .</w:t>
      </w:r>
      <w:proofErr w:type="gramEnd"/>
    </w:p>
    <w:p w14:paraId="6080F8CA" w14:textId="77777777" w:rsidR="000940B4" w:rsidRDefault="000940B4" w:rsidP="000940B4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4ED54A1A" w14:textId="77777777" w:rsidR="000940B4" w:rsidRPr="003441B4" w:rsidRDefault="000940B4" w:rsidP="003441B4">
      <w:pPr>
        <w:pStyle w:val="NormaleWeb"/>
        <w:spacing w:before="0" w:beforeAutospacing="0" w:after="240" w:afterAutospacing="0"/>
        <w:jc w:val="both"/>
        <w:rPr>
          <w:color w:val="000000"/>
        </w:rPr>
      </w:pPr>
      <w:r w:rsidRPr="003441B4">
        <w:rPr>
          <w:b/>
          <w:bCs/>
          <w:color w:val="000000"/>
        </w:rPr>
        <w:t xml:space="preserve">Testi </w:t>
      </w:r>
      <w:proofErr w:type="gramStart"/>
      <w:r w:rsidRPr="003441B4">
        <w:rPr>
          <w:b/>
          <w:bCs/>
          <w:color w:val="000000"/>
        </w:rPr>
        <w:t>critici</w:t>
      </w:r>
      <w:r w:rsidRPr="003441B4">
        <w:rPr>
          <w:color w:val="000000"/>
        </w:rPr>
        <w:t> :</w:t>
      </w:r>
      <w:proofErr w:type="gramEnd"/>
    </w:p>
    <w:p w14:paraId="75177E8E" w14:textId="0A73C26C" w:rsidR="002D162D" w:rsidRDefault="003441B4" w:rsidP="003441B4">
      <w:pPr>
        <w:pStyle w:val="NormaleWeb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-</w:t>
      </w:r>
      <w:r w:rsidR="000940B4" w:rsidRPr="003441B4">
        <w:rPr>
          <w:color w:val="000000"/>
        </w:rPr>
        <w:t>Al</w:t>
      </w:r>
      <w:r w:rsidR="000555F9">
        <w:rPr>
          <w:color w:val="000000"/>
        </w:rPr>
        <w:t xml:space="preserve">ain </w:t>
      </w:r>
      <w:r w:rsidR="000940B4" w:rsidRPr="003441B4">
        <w:rPr>
          <w:color w:val="000000"/>
        </w:rPr>
        <w:t xml:space="preserve">Goulet, </w:t>
      </w:r>
      <w:proofErr w:type="gramStart"/>
      <w:r w:rsidR="000940B4" w:rsidRPr="003441B4">
        <w:rPr>
          <w:i/>
          <w:iCs/>
          <w:color w:val="000000"/>
        </w:rPr>
        <w:t>S.Germain</w:t>
      </w:r>
      <w:proofErr w:type="gramEnd"/>
      <w:r w:rsidR="000940B4" w:rsidRPr="003441B4">
        <w:rPr>
          <w:i/>
          <w:iCs/>
          <w:color w:val="000000"/>
        </w:rPr>
        <w:t>, œuvre romanesque</w:t>
      </w:r>
      <w:r w:rsidR="000940B4" w:rsidRPr="003441B4">
        <w:rPr>
          <w:color w:val="000000"/>
        </w:rPr>
        <w:t>, Paris, L’Harmattan, 2006,</w:t>
      </w:r>
      <w:r>
        <w:rPr>
          <w:color w:val="000000"/>
        </w:rPr>
        <w:t>(in particolare le</w:t>
      </w:r>
      <w:r w:rsidR="000940B4" w:rsidRPr="003441B4">
        <w:rPr>
          <w:color w:val="000000"/>
        </w:rPr>
        <w:t xml:space="preserve"> pp.151-</w:t>
      </w:r>
      <w:r>
        <w:rPr>
          <w:color w:val="000000"/>
        </w:rPr>
        <w:t xml:space="preserve">     </w:t>
      </w:r>
      <w:r w:rsidR="002D162D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0940B4" w:rsidRPr="003441B4">
        <w:rPr>
          <w:color w:val="000000"/>
        </w:rPr>
        <w:t>166</w:t>
      </w:r>
      <w:r>
        <w:rPr>
          <w:color w:val="000000"/>
        </w:rPr>
        <w:t>.</w:t>
      </w:r>
    </w:p>
    <w:p w14:paraId="02D93A14" w14:textId="4FCC8BAE" w:rsidR="000940B4" w:rsidRPr="003441B4" w:rsidRDefault="000940B4" w:rsidP="003441B4">
      <w:pPr>
        <w:pStyle w:val="NormaleWeb"/>
        <w:spacing w:before="0" w:beforeAutospacing="0" w:after="240" w:afterAutospacing="0"/>
        <w:jc w:val="both"/>
        <w:rPr>
          <w:color w:val="000000"/>
        </w:rPr>
      </w:pPr>
      <w:r w:rsidRPr="003441B4">
        <w:rPr>
          <w:color w:val="000000"/>
        </w:rPr>
        <w:t xml:space="preserve"> - </w:t>
      </w:r>
      <w:proofErr w:type="gramStart"/>
      <w:r w:rsidRPr="003441B4">
        <w:rPr>
          <w:color w:val="000000"/>
        </w:rPr>
        <w:t>D.Fabiani</w:t>
      </w:r>
      <w:proofErr w:type="gramEnd"/>
      <w:r w:rsidRPr="003441B4">
        <w:rPr>
          <w:color w:val="000000"/>
        </w:rPr>
        <w:t xml:space="preserve">, </w:t>
      </w:r>
      <w:r w:rsidRPr="003441B4">
        <w:rPr>
          <w:i/>
          <w:iCs/>
          <w:color w:val="000000"/>
        </w:rPr>
        <w:t>J. Green et S. Germain : de la topographie métropolitaine à la topographie de l’âme</w:t>
      </w:r>
      <w:r w:rsidRPr="003441B4">
        <w:rPr>
          <w:color w:val="000000"/>
        </w:rPr>
        <w:t xml:space="preserve">, in </w:t>
      </w:r>
      <w:r w:rsidRPr="003441B4">
        <w:rPr>
          <w:i/>
          <w:iCs/>
          <w:color w:val="000000"/>
        </w:rPr>
        <w:t>J. Green et alii : rencontres, parentés, influences.</w:t>
      </w:r>
      <w:r w:rsidRPr="003441B4">
        <w:rPr>
          <w:color w:val="000000"/>
        </w:rPr>
        <w:t xml:space="preserve"> Sous la direction de C.  Auroy et A. Schaffner, Dijon, Presses Universitaires de Dijon, 2011, pp.337-348.</w:t>
      </w:r>
    </w:p>
    <w:p w14:paraId="6295CACF" w14:textId="60BD5737" w:rsidR="000940B4" w:rsidRPr="003441B4" w:rsidRDefault="000940B4" w:rsidP="003441B4">
      <w:pPr>
        <w:pStyle w:val="NormaleWeb"/>
        <w:spacing w:before="0" w:beforeAutospacing="0" w:after="240" w:afterAutospacing="0"/>
        <w:jc w:val="both"/>
        <w:rPr>
          <w:color w:val="000000"/>
        </w:rPr>
      </w:pPr>
      <w:r w:rsidRPr="003441B4">
        <w:rPr>
          <w:color w:val="000000"/>
        </w:rPr>
        <w:t>-</w:t>
      </w:r>
      <w:proofErr w:type="gramStart"/>
      <w:r w:rsidRPr="003441B4">
        <w:rPr>
          <w:color w:val="000000"/>
        </w:rPr>
        <w:t>St.Gailly</w:t>
      </w:r>
      <w:proofErr w:type="gramEnd"/>
      <w:r w:rsidRPr="003441B4">
        <w:rPr>
          <w:color w:val="000000"/>
        </w:rPr>
        <w:t xml:space="preserve">, </w:t>
      </w:r>
      <w:r w:rsidRPr="003441B4">
        <w:rPr>
          <w:i/>
          <w:iCs/>
          <w:color w:val="000000"/>
        </w:rPr>
        <w:t>Le mythe de Prague dans les littératures européennes</w:t>
      </w:r>
      <w:r w:rsidRPr="003441B4">
        <w:rPr>
          <w:color w:val="000000"/>
        </w:rPr>
        <w:t>, Paris, H. Champion, 2007.</w:t>
      </w:r>
    </w:p>
    <w:p w14:paraId="27925439" w14:textId="3F25FA48" w:rsidR="000940B4" w:rsidRPr="003441B4" w:rsidRDefault="000940B4" w:rsidP="003441B4">
      <w:pPr>
        <w:pStyle w:val="NormaleWeb"/>
        <w:spacing w:before="0" w:beforeAutospacing="0" w:after="240" w:afterAutospacing="0"/>
        <w:jc w:val="both"/>
        <w:rPr>
          <w:color w:val="000000"/>
        </w:rPr>
      </w:pPr>
      <w:r w:rsidRPr="003441B4">
        <w:rPr>
          <w:color w:val="000000"/>
        </w:rPr>
        <w:lastRenderedPageBreak/>
        <w:t xml:space="preserve">- Y. Combeau, </w:t>
      </w:r>
      <w:r w:rsidRPr="003441B4">
        <w:rPr>
          <w:i/>
          <w:iCs/>
          <w:color w:val="000000"/>
        </w:rPr>
        <w:t>Histoire de Paris,</w:t>
      </w:r>
      <w:r w:rsidRPr="003441B4">
        <w:rPr>
          <w:color w:val="000000"/>
        </w:rPr>
        <w:t xml:space="preserve"> Paris, PUF, 1999</w:t>
      </w:r>
    </w:p>
    <w:p w14:paraId="7AB393A8" w14:textId="2ED85A2A" w:rsidR="000819A9" w:rsidRDefault="003441B4" w:rsidP="003441B4">
      <w:pPr>
        <w:pStyle w:val="Titolo2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-all’interno della bibliografia sottostante lo studente sceglierà un articolo critico su ognuno dei due autori/romanzi in programma.</w:t>
      </w:r>
    </w:p>
    <w:p w14:paraId="19D18423" w14:textId="77777777" w:rsidR="003441B4" w:rsidRPr="003441B4" w:rsidRDefault="003441B4" w:rsidP="003441B4"/>
    <w:p w14:paraId="34EFAE7B" w14:textId="52434B7B" w:rsidR="00070978" w:rsidRPr="003441B4" w:rsidRDefault="00070978" w:rsidP="003441B4">
      <w:pPr>
        <w:pStyle w:val="Titolo2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proofErr w:type="gramStart"/>
      <w:r w:rsidRPr="003441B4">
        <w:rPr>
          <w:rFonts w:ascii="Times New Roman" w:hAnsi="Times New Roman" w:cs="Times New Roman"/>
          <w:iCs/>
          <w:color w:val="auto"/>
          <w:sz w:val="24"/>
          <w:szCs w:val="24"/>
        </w:rPr>
        <w:t>BIBLIOGRAFIA  CRITICA</w:t>
      </w:r>
      <w:proofErr w:type="gramEnd"/>
    </w:p>
    <w:p w14:paraId="6A057095" w14:textId="77777777" w:rsidR="00070978" w:rsidRPr="00070978" w:rsidRDefault="00070978" w:rsidP="00070978">
      <w:pPr>
        <w:rPr>
          <w:iCs/>
        </w:rPr>
      </w:pPr>
    </w:p>
    <w:p w14:paraId="6DBD0467" w14:textId="77777777" w:rsidR="00070978" w:rsidRDefault="00070978" w:rsidP="00070978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A.Parigi</w:t>
      </w:r>
      <w:proofErr w:type="gramEnd"/>
      <w:r>
        <w:rPr>
          <w:sz w:val="28"/>
          <w:szCs w:val="28"/>
          <w:u w:val="single"/>
        </w:rPr>
        <w:t xml:space="preserve"> e Praga</w:t>
      </w:r>
    </w:p>
    <w:p w14:paraId="075EE26D" w14:textId="77777777" w:rsidR="00070978" w:rsidRDefault="00070978" w:rsidP="00070978">
      <w:pPr>
        <w:rPr>
          <w:sz w:val="28"/>
          <w:szCs w:val="28"/>
          <w:u w:val="single"/>
        </w:rPr>
      </w:pPr>
    </w:p>
    <w:p w14:paraId="5E211E94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gramStart"/>
      <w:r>
        <w:rPr>
          <w:lang w:val="fr-FR"/>
        </w:rPr>
        <w:t>R.Barthes</w:t>
      </w:r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>Mythologies</w:t>
      </w:r>
      <w:r>
        <w:rPr>
          <w:lang w:val="fr-FR"/>
        </w:rPr>
        <w:t>, Paris, Seuil, 1957</w:t>
      </w:r>
    </w:p>
    <w:p w14:paraId="379EE956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 xml:space="preserve">-Bancquart M-C, </w:t>
      </w:r>
      <w:r>
        <w:rPr>
          <w:i/>
          <w:iCs/>
          <w:lang w:val="fr-FR"/>
        </w:rPr>
        <w:t>Images littéraires du Paris “fin de siècle”</w:t>
      </w:r>
      <w:r>
        <w:rPr>
          <w:lang w:val="fr-FR"/>
        </w:rPr>
        <w:t xml:space="preserve">, Paris, Ed.de La </w:t>
      </w:r>
      <w:proofErr w:type="gramStart"/>
      <w:r>
        <w:rPr>
          <w:lang w:val="fr-FR"/>
        </w:rPr>
        <w:t>Différence,  1979</w:t>
      </w:r>
      <w:proofErr w:type="gramEnd"/>
    </w:p>
    <w:p w14:paraId="666A4C5A" w14:textId="77777777" w:rsidR="00070978" w:rsidRDefault="00070978" w:rsidP="00070978">
      <w:pPr>
        <w:spacing w:line="360" w:lineRule="auto"/>
      </w:pPr>
      <w:r>
        <w:t>-</w:t>
      </w:r>
      <w:proofErr w:type="gramStart"/>
      <w:r>
        <w:t>G.Macchia</w:t>
      </w:r>
      <w:proofErr w:type="gramEnd"/>
      <w:r>
        <w:t xml:space="preserve">, </w:t>
      </w:r>
      <w:r>
        <w:rPr>
          <w:i/>
          <w:iCs/>
        </w:rPr>
        <w:t>Il mito di Parigi</w:t>
      </w:r>
      <w:r>
        <w:t>, Torino, Einaudi, 1981.</w:t>
      </w:r>
    </w:p>
    <w:p w14:paraId="16FFF6CF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>-</w:t>
      </w:r>
      <w:proofErr w:type="gramStart"/>
      <w:r>
        <w:rPr>
          <w:lang w:val="fr-FR"/>
        </w:rPr>
        <w:t>R.Barthes</w:t>
      </w:r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>Sémiologie et urbanisme</w:t>
      </w:r>
      <w:r>
        <w:rPr>
          <w:lang w:val="fr-FR"/>
        </w:rPr>
        <w:t xml:space="preserve">, in </w:t>
      </w:r>
      <w:r>
        <w:rPr>
          <w:i/>
          <w:iCs/>
          <w:lang w:val="fr-FR"/>
        </w:rPr>
        <w:t xml:space="preserve">L’aventure sémiologique, </w:t>
      </w:r>
      <w:r>
        <w:rPr>
          <w:lang w:val="fr-FR"/>
        </w:rPr>
        <w:t>Paris, Seuil, 1985</w:t>
      </w:r>
    </w:p>
    <w:p w14:paraId="74AC1C11" w14:textId="77777777" w:rsidR="00CB77B7" w:rsidRPr="00CB77B7" w:rsidRDefault="00CB77B7" w:rsidP="00070978">
      <w:pPr>
        <w:spacing w:line="360" w:lineRule="auto"/>
      </w:pPr>
      <w:r>
        <w:t>-</w:t>
      </w:r>
      <w:proofErr w:type="gramStart"/>
      <w:r>
        <w:t>M.Berman</w:t>
      </w:r>
      <w:proofErr w:type="gramEnd"/>
      <w:r>
        <w:t xml:space="preserve">, </w:t>
      </w:r>
      <w:r>
        <w:rPr>
          <w:i/>
          <w:iCs/>
        </w:rPr>
        <w:t>L’esperienza della modernità</w:t>
      </w:r>
      <w:r>
        <w:t>, Bologna, Il Mulino, 1985.</w:t>
      </w:r>
    </w:p>
    <w:p w14:paraId="09BDB336" w14:textId="77777777" w:rsidR="00070978" w:rsidRDefault="00070978" w:rsidP="00070978">
      <w:pPr>
        <w:spacing w:line="360" w:lineRule="auto"/>
      </w:pPr>
      <w:r>
        <w:t xml:space="preserve">-W. Benjamin, </w:t>
      </w:r>
      <w:r>
        <w:rPr>
          <w:i/>
          <w:iCs/>
        </w:rPr>
        <w:t xml:space="preserve">Parigi capitale del XIX </w:t>
      </w:r>
      <w:proofErr w:type="gramStart"/>
      <w:r>
        <w:rPr>
          <w:i/>
          <w:iCs/>
        </w:rPr>
        <w:t>secolo</w:t>
      </w:r>
      <w:r>
        <w:t>,Torino</w:t>
      </w:r>
      <w:proofErr w:type="gramEnd"/>
      <w:r>
        <w:t>, Einaudi, 1986</w:t>
      </w:r>
    </w:p>
    <w:p w14:paraId="4D90DBFC" w14:textId="77777777" w:rsidR="00070978" w:rsidRDefault="00070978" w:rsidP="00070978">
      <w:pPr>
        <w:spacing w:line="360" w:lineRule="auto"/>
        <w:rPr>
          <w:lang w:val="fr-FR"/>
        </w:rPr>
      </w:pPr>
      <w:r w:rsidRPr="00CB77B7">
        <w:rPr>
          <w:lang w:val="fr-FR"/>
        </w:rPr>
        <w:t>-</w:t>
      </w:r>
      <w:r w:rsidR="00CB77B7">
        <w:rPr>
          <w:lang w:val="fr-FR"/>
        </w:rPr>
        <w:t xml:space="preserve"> </w:t>
      </w:r>
      <w:r>
        <w:rPr>
          <w:lang w:val="fr-FR"/>
        </w:rPr>
        <w:t xml:space="preserve">S. Des Cars-Pinon, </w:t>
      </w:r>
      <w:r>
        <w:rPr>
          <w:i/>
          <w:iCs/>
          <w:lang w:val="fr-FR"/>
        </w:rPr>
        <w:t>Paris-Haussmann</w:t>
      </w:r>
      <w:r>
        <w:rPr>
          <w:lang w:val="fr-FR"/>
        </w:rPr>
        <w:t>, Paris, Picard, 1991</w:t>
      </w:r>
    </w:p>
    <w:p w14:paraId="49542352" w14:textId="77777777" w:rsidR="00070978" w:rsidRDefault="00070978" w:rsidP="00070978">
      <w:pPr>
        <w:spacing w:line="360" w:lineRule="auto"/>
      </w:pPr>
      <w:r>
        <w:t xml:space="preserve">-L. Bergeron, </w:t>
      </w:r>
      <w:r>
        <w:rPr>
          <w:i/>
          <w:iCs/>
        </w:rPr>
        <w:t>Parigi. Il mito di una capitale</w:t>
      </w:r>
      <w:r>
        <w:t>, Torino, Einaudi,1993</w:t>
      </w:r>
    </w:p>
    <w:p w14:paraId="3BDBD349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>-</w:t>
      </w:r>
      <w:proofErr w:type="gramStart"/>
      <w:r>
        <w:rPr>
          <w:lang w:val="fr-FR"/>
        </w:rPr>
        <w:t>B.Marchand</w:t>
      </w:r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>Paris. Histoire d’une ville</w:t>
      </w:r>
      <w:r>
        <w:rPr>
          <w:lang w:val="fr-FR"/>
        </w:rPr>
        <w:t>, Paris, Seuil,1993</w:t>
      </w:r>
    </w:p>
    <w:p w14:paraId="7B4570D5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 xml:space="preserve">-AA.VV., </w:t>
      </w:r>
      <w:r>
        <w:rPr>
          <w:i/>
          <w:iCs/>
          <w:lang w:val="fr-FR"/>
        </w:rPr>
        <w:t>Paris des écrivains</w:t>
      </w:r>
      <w:r>
        <w:rPr>
          <w:lang w:val="fr-FR"/>
        </w:rPr>
        <w:t>, in « Magazine littéraire », n°332, mai 1995, pp.16-69.</w:t>
      </w:r>
    </w:p>
    <w:p w14:paraId="32068900" w14:textId="77777777" w:rsidR="00070978" w:rsidRDefault="00070978" w:rsidP="00070978">
      <w:pPr>
        <w:spacing w:line="360" w:lineRule="auto"/>
      </w:pPr>
      <w:r>
        <w:t xml:space="preserve">- </w:t>
      </w:r>
      <w:proofErr w:type="gramStart"/>
      <w:r>
        <w:t>A.Faitrhop</w:t>
      </w:r>
      <w:proofErr w:type="gramEnd"/>
      <w:r>
        <w:t xml:space="preserve">-Porta, </w:t>
      </w:r>
      <w:r>
        <w:rPr>
          <w:i/>
          <w:iCs/>
        </w:rPr>
        <w:t>Parigi vista dagli italiani</w:t>
      </w:r>
      <w:r>
        <w:t>, Moncalieri, Ed.del CIRVI, 1995</w:t>
      </w:r>
    </w:p>
    <w:p w14:paraId="3FC294F3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>-</w:t>
      </w:r>
      <w:proofErr w:type="gramStart"/>
      <w:r>
        <w:rPr>
          <w:lang w:val="fr-FR"/>
        </w:rPr>
        <w:t>A.Ferro</w:t>
      </w:r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>Histoire et dictionnaire de Paris</w:t>
      </w:r>
      <w:r>
        <w:rPr>
          <w:lang w:val="fr-FR"/>
        </w:rPr>
        <w:t>, Paris,Laffont,1996</w:t>
      </w:r>
    </w:p>
    <w:p w14:paraId="26D900DA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>-</w:t>
      </w:r>
      <w:proofErr w:type="gramStart"/>
      <w:r>
        <w:rPr>
          <w:lang w:val="fr-FR"/>
        </w:rPr>
        <w:t>F.Bournon</w:t>
      </w:r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>Histoire de Paris,</w:t>
      </w:r>
      <w:r>
        <w:rPr>
          <w:lang w:val="fr-FR"/>
        </w:rPr>
        <w:t xml:space="preserve"> Milano, Spiegel, 1998</w:t>
      </w:r>
    </w:p>
    <w:p w14:paraId="6E02651D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proofErr w:type="gramStart"/>
      <w:r>
        <w:rPr>
          <w:lang w:val="fr-FR"/>
        </w:rPr>
        <w:t>J.Hillairet</w:t>
      </w:r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>Connaissance du vieux Paris</w:t>
      </w:r>
      <w:r>
        <w:rPr>
          <w:lang w:val="fr-FR"/>
        </w:rPr>
        <w:t xml:space="preserve"> , Paris, Rivages, 1999</w:t>
      </w:r>
    </w:p>
    <w:p w14:paraId="6CEDF308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>-</w:t>
      </w:r>
      <w:proofErr w:type="gramStart"/>
      <w:r>
        <w:rPr>
          <w:lang w:val="fr-FR"/>
        </w:rPr>
        <w:t>Y.Combeau</w:t>
      </w:r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>Histoire de Paris</w:t>
      </w:r>
      <w:r>
        <w:rPr>
          <w:lang w:val="fr-FR"/>
        </w:rPr>
        <w:t>, Paris, PUF, 1999.</w:t>
      </w:r>
    </w:p>
    <w:p w14:paraId="7F917084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>-</w:t>
      </w:r>
      <w:proofErr w:type="gramStart"/>
      <w:r>
        <w:rPr>
          <w:lang w:val="fr-FR"/>
        </w:rPr>
        <w:t>K</w:t>
      </w:r>
      <w:bookmarkStart w:id="0" w:name="_Hlk8114918"/>
      <w:r>
        <w:rPr>
          <w:lang w:val="fr-FR"/>
        </w:rPr>
        <w:t>.Stierle</w:t>
      </w:r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>La capitale des signes. Paris et son discours</w:t>
      </w:r>
      <w:r>
        <w:rPr>
          <w:lang w:val="fr-FR"/>
        </w:rPr>
        <w:t xml:space="preserve">, Paris, Ed. De </w:t>
      </w:r>
      <w:smartTag w:uri="urn:schemas-microsoft-com:office:smarttags" w:element="PersonName">
        <w:smartTagPr>
          <w:attr w:name="ProductID" w:val="la Maison"/>
        </w:smartTagPr>
        <w:r>
          <w:rPr>
            <w:lang w:val="fr-FR"/>
          </w:rPr>
          <w:t>la Maison</w:t>
        </w:r>
      </w:smartTag>
      <w:r>
        <w:rPr>
          <w:lang w:val="fr-FR"/>
        </w:rPr>
        <w:t xml:space="preserve"> </w:t>
      </w:r>
      <w:proofErr w:type="gramStart"/>
      <w:r>
        <w:rPr>
          <w:lang w:val="fr-FR"/>
        </w:rPr>
        <w:t>des  sciences</w:t>
      </w:r>
      <w:proofErr w:type="gramEnd"/>
      <w:r>
        <w:rPr>
          <w:lang w:val="fr-FR"/>
        </w:rPr>
        <w:t xml:space="preserve"> de </w:t>
      </w:r>
    </w:p>
    <w:p w14:paraId="0996667A" w14:textId="77777777" w:rsidR="00070978" w:rsidRDefault="00070978" w:rsidP="00070978">
      <w:pPr>
        <w:spacing w:line="360" w:lineRule="auto"/>
        <w:rPr>
          <w:lang w:val="fr-FR"/>
        </w:rPr>
      </w:pPr>
      <w:r>
        <w:rPr>
          <w:lang w:val="fr-FR"/>
        </w:rPr>
        <w:t xml:space="preserve">                </w:t>
      </w:r>
      <w:proofErr w:type="gramStart"/>
      <w:r>
        <w:rPr>
          <w:lang w:val="fr-FR"/>
        </w:rPr>
        <w:t>l’homme</w:t>
      </w:r>
      <w:proofErr w:type="gramEnd"/>
      <w:r>
        <w:rPr>
          <w:lang w:val="fr-FR"/>
        </w:rPr>
        <w:t>, 2001.</w:t>
      </w:r>
    </w:p>
    <w:bookmarkEnd w:id="0"/>
    <w:p w14:paraId="69E606CC" w14:textId="77777777" w:rsidR="00070978" w:rsidRPr="00070978" w:rsidRDefault="00070978" w:rsidP="00070978">
      <w:pPr>
        <w:spacing w:line="360" w:lineRule="auto"/>
        <w:rPr>
          <w:lang w:val="fr-FR"/>
        </w:rPr>
      </w:pPr>
      <w:proofErr w:type="gramStart"/>
      <w:r w:rsidRPr="00070978">
        <w:rPr>
          <w:lang w:val="fr-FR"/>
        </w:rPr>
        <w:t>.-</w:t>
      </w:r>
      <w:proofErr w:type="gramEnd"/>
      <w:r w:rsidRPr="00070978">
        <w:rPr>
          <w:lang w:val="fr-FR"/>
        </w:rPr>
        <w:t xml:space="preserve">A.M.Ripellino, </w:t>
      </w:r>
      <w:r w:rsidRPr="00070978">
        <w:rPr>
          <w:i/>
          <w:lang w:val="fr-FR"/>
        </w:rPr>
        <w:t>Praga magica</w:t>
      </w:r>
      <w:r w:rsidRPr="00070978">
        <w:rPr>
          <w:lang w:val="fr-FR"/>
        </w:rPr>
        <w:t>, Torino, Einaudi, 2005.</w:t>
      </w:r>
    </w:p>
    <w:p w14:paraId="389FADF4" w14:textId="77777777" w:rsidR="00070978" w:rsidRDefault="00070978" w:rsidP="00070978">
      <w:pPr>
        <w:spacing w:line="360" w:lineRule="auto"/>
        <w:rPr>
          <w:lang w:val="fr-FR"/>
        </w:rPr>
      </w:pPr>
      <w:r>
        <w:rPr>
          <w:rFonts w:ascii="Garamond" w:hAnsi="Garamond"/>
          <w:sz w:val="28"/>
          <w:szCs w:val="28"/>
          <w:lang w:val="fr-FR"/>
        </w:rPr>
        <w:t>-</w:t>
      </w:r>
      <w:proofErr w:type="gramStart"/>
      <w:r>
        <w:rPr>
          <w:lang w:val="fr-FR"/>
        </w:rPr>
        <w:t>St.Gailly</w:t>
      </w:r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>Le mythe de Prague dans les littératures européennes</w:t>
      </w:r>
      <w:r>
        <w:rPr>
          <w:lang w:val="fr-FR"/>
        </w:rPr>
        <w:t>, Paris, H. Champion, 2007.</w:t>
      </w:r>
    </w:p>
    <w:p w14:paraId="60E14E6B" w14:textId="77777777" w:rsidR="00070978" w:rsidRPr="00070978" w:rsidRDefault="00070978" w:rsidP="00070978">
      <w:pPr>
        <w:spacing w:line="360" w:lineRule="auto"/>
        <w:rPr>
          <w:rFonts w:ascii="Garamond" w:hAnsi="Garamond"/>
          <w:sz w:val="28"/>
          <w:szCs w:val="28"/>
          <w:lang w:val="fr-FR"/>
        </w:rPr>
      </w:pPr>
    </w:p>
    <w:p w14:paraId="3E8A4479" w14:textId="77777777" w:rsidR="00070978" w:rsidRPr="00070978" w:rsidRDefault="00070978" w:rsidP="00070978">
      <w:pPr>
        <w:spacing w:line="360" w:lineRule="auto"/>
        <w:rPr>
          <w:rFonts w:ascii="Bookman Old Style" w:hAnsi="Bookman Old Style"/>
          <w:sz w:val="22"/>
          <w:lang w:val="fr-FR"/>
        </w:rPr>
      </w:pPr>
    </w:p>
    <w:p w14:paraId="5971BB7C" w14:textId="77777777" w:rsidR="00070978" w:rsidRDefault="00070978" w:rsidP="0007097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B) </w:t>
      </w:r>
      <w:r>
        <w:rPr>
          <w:bCs/>
          <w:sz w:val="28"/>
          <w:szCs w:val="28"/>
          <w:u w:val="single"/>
        </w:rPr>
        <w:t>Julien Green</w:t>
      </w:r>
    </w:p>
    <w:p w14:paraId="7B32629A" w14:textId="77777777" w:rsidR="00070978" w:rsidRDefault="00070978" w:rsidP="00070978">
      <w:pPr>
        <w:pStyle w:val="Corpotesto"/>
        <w:numPr>
          <w:ilvl w:val="0"/>
          <w:numId w:val="1"/>
        </w:numPr>
        <w:ind w:right="-622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M.Raclot,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Le sens du mystère dans l’oeuvre romanesque de 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fr-FR"/>
        </w:rPr>
        <w:t>J.Green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, Paris, Aux Amateurs du livre,  2 t.,  1988.</w:t>
      </w:r>
    </w:p>
    <w:p w14:paraId="56FDB6FD" w14:textId="77777777" w:rsidR="00070978" w:rsidRDefault="00070978" w:rsidP="00070978">
      <w:pPr>
        <w:pStyle w:val="Corpotesto"/>
        <w:numPr>
          <w:ilvl w:val="0"/>
          <w:numId w:val="1"/>
        </w:numPr>
        <w:ind w:right="-622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val="fr-FR"/>
        </w:rPr>
        <w:t>J.Green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 et l’insolite</w:t>
      </w:r>
      <w:r>
        <w:rPr>
          <w:rFonts w:ascii="Times New Roman" w:hAnsi="Times New Roman"/>
          <w:sz w:val="24"/>
          <w:szCs w:val="24"/>
          <w:lang w:val="fr-FR"/>
        </w:rPr>
        <w:t xml:space="preserve">. Etudes réunies par M.-F. Canérot et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M.Raclot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, Paris, SIEG, 1998</w:t>
      </w:r>
    </w:p>
    <w:p w14:paraId="5E61EA4A" w14:textId="77777777" w:rsidR="00070978" w:rsidRDefault="00070978" w:rsidP="00070978">
      <w:pPr>
        <w:pStyle w:val="Corpotesto"/>
        <w:numPr>
          <w:ilvl w:val="0"/>
          <w:numId w:val="1"/>
        </w:numPr>
        <w:ind w:right="-622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W.Matz,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Julien Green.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Le siècle et son ombre</w:t>
      </w:r>
      <w:r>
        <w:rPr>
          <w:rFonts w:ascii="Times New Roman" w:hAnsi="Times New Roman"/>
          <w:sz w:val="24"/>
          <w:szCs w:val="24"/>
          <w:lang w:val="fr-FR"/>
        </w:rPr>
        <w:t xml:space="preserve">. Trad. de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J.Etoré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et B. Lortholary, Paris, Gallimard, 1998.</w:t>
      </w:r>
    </w:p>
    <w:p w14:paraId="6D6605AD" w14:textId="77777777" w:rsidR="00070978" w:rsidRDefault="00070978" w:rsidP="00070978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M. O’Dwyer, </w:t>
      </w:r>
      <w:r>
        <w:rPr>
          <w:i/>
          <w:lang w:val="fr-FR"/>
        </w:rPr>
        <w:t xml:space="preserve">Le flâneur des deux </w:t>
      </w:r>
      <w:proofErr w:type="gramStart"/>
      <w:r>
        <w:rPr>
          <w:i/>
          <w:lang w:val="fr-FR"/>
        </w:rPr>
        <w:t>rives:</w:t>
      </w:r>
      <w:proofErr w:type="gramEnd"/>
      <w:r>
        <w:rPr>
          <w:i/>
          <w:lang w:val="fr-FR"/>
        </w:rPr>
        <w:t xml:space="preserve"> poétisation greenienne de l’espace parisien</w:t>
      </w:r>
      <w:r>
        <w:rPr>
          <w:lang w:val="fr-FR"/>
        </w:rPr>
        <w:t>, in « Mélanges des Science religieuse »,t.58,n° 3, juillet- septembre 2001, pp. 79-85.</w:t>
      </w:r>
    </w:p>
    <w:p w14:paraId="7DF4B428" w14:textId="77777777" w:rsidR="00070978" w:rsidRDefault="00070978" w:rsidP="00070978">
      <w:pPr>
        <w:numPr>
          <w:ilvl w:val="0"/>
          <w:numId w:val="1"/>
        </w:numPr>
        <w:ind w:left="714" w:hanging="357"/>
        <w:jc w:val="both"/>
      </w:pPr>
      <w:r>
        <w:lastRenderedPageBreak/>
        <w:t xml:space="preserve">D. Fabiani, </w:t>
      </w:r>
      <w:r>
        <w:rPr>
          <w:i/>
          <w:iCs/>
        </w:rPr>
        <w:t>Erranza e scrittura. Julien Green e le forme narrative brevi</w:t>
      </w:r>
      <w:r>
        <w:t xml:space="preserve">, </w:t>
      </w:r>
      <w:smartTag w:uri="urn:schemas-microsoft-com:office:smarttags" w:element="PersonName">
        <w:smartTagPr>
          <w:attr w:name="ProductID" w:val="La Spezia"/>
        </w:smartTagPr>
        <w:r>
          <w:t>La Spezia</w:t>
        </w:r>
      </w:smartTag>
      <w:r>
        <w:t>, Agorà, 2003.</w:t>
      </w:r>
    </w:p>
    <w:p w14:paraId="2FB05B8B" w14:textId="77777777" w:rsidR="00070978" w:rsidRDefault="00070978" w:rsidP="00070978">
      <w:pPr>
        <w:numPr>
          <w:ilvl w:val="0"/>
          <w:numId w:val="1"/>
        </w:numPr>
        <w:rPr>
          <w:i/>
          <w:lang w:val="fr-FR"/>
        </w:rPr>
      </w:pPr>
      <w:r>
        <w:rPr>
          <w:lang w:val="fr-FR"/>
        </w:rPr>
        <w:t xml:space="preserve">D.Fabiani, </w:t>
      </w:r>
      <w:r>
        <w:rPr>
          <w:i/>
          <w:lang w:val="fr-FR"/>
        </w:rPr>
        <w:t xml:space="preserve">J. Green et S. Germain : de la topographie métropolitaine à la topographie de </w:t>
      </w:r>
    </w:p>
    <w:p w14:paraId="1BB4A476" w14:textId="77777777" w:rsidR="00070978" w:rsidRDefault="00070978" w:rsidP="00070978">
      <w:pPr>
        <w:ind w:left="360"/>
        <w:rPr>
          <w:lang w:val="fr-FR"/>
        </w:rPr>
      </w:pPr>
      <w:r>
        <w:rPr>
          <w:i/>
          <w:lang w:val="fr-FR"/>
        </w:rPr>
        <w:t xml:space="preserve">      </w:t>
      </w:r>
      <w:proofErr w:type="gramStart"/>
      <w:r>
        <w:rPr>
          <w:i/>
          <w:lang w:val="fr-FR"/>
        </w:rPr>
        <w:t>l’âme</w:t>
      </w:r>
      <w:proofErr w:type="gramEnd"/>
      <w:r>
        <w:rPr>
          <w:lang w:val="fr-FR"/>
        </w:rPr>
        <w:t xml:space="preserve">, in </w:t>
      </w:r>
      <w:r>
        <w:rPr>
          <w:i/>
          <w:lang w:val="fr-FR"/>
        </w:rPr>
        <w:t>J. Green et alii : rencontres, parentés, influences</w:t>
      </w:r>
      <w:r>
        <w:rPr>
          <w:lang w:val="fr-FR"/>
        </w:rPr>
        <w:t xml:space="preserve">. Sous la direction de C. Auroy et </w:t>
      </w:r>
    </w:p>
    <w:p w14:paraId="7C1608D9" w14:textId="77777777" w:rsidR="00070978" w:rsidRDefault="00070978" w:rsidP="00070978">
      <w:pPr>
        <w:rPr>
          <w:lang w:val="fr-FR"/>
        </w:rPr>
      </w:pPr>
      <w:r>
        <w:rPr>
          <w:lang w:val="fr-FR"/>
        </w:rPr>
        <w:t xml:space="preserve">            </w:t>
      </w:r>
      <w:proofErr w:type="gramStart"/>
      <w:r>
        <w:rPr>
          <w:lang w:val="fr-FR"/>
        </w:rPr>
        <w:t>A.Schaffner</w:t>
      </w:r>
      <w:proofErr w:type="gramEnd"/>
      <w:r>
        <w:rPr>
          <w:lang w:val="fr-FR"/>
        </w:rPr>
        <w:t>, Dijon, Presses Universitaires de Dijon, 2011,pp.337-348.</w:t>
      </w:r>
    </w:p>
    <w:p w14:paraId="745E5FB2" w14:textId="77777777" w:rsidR="00070978" w:rsidRDefault="00070978" w:rsidP="00070978">
      <w:pPr>
        <w:numPr>
          <w:ilvl w:val="0"/>
          <w:numId w:val="2"/>
        </w:numPr>
        <w:rPr>
          <w:lang w:val="fr-FR"/>
        </w:rPr>
      </w:pPr>
      <w:r>
        <w:rPr>
          <w:i/>
          <w:lang w:val="fr-FR"/>
        </w:rPr>
        <w:t>Julien Green et l’Europe</w:t>
      </w:r>
      <w:r>
        <w:rPr>
          <w:lang w:val="fr-FR"/>
        </w:rPr>
        <w:t xml:space="preserve">. Etudes réunies par D. Fabiani et D. Vicca, Paris, Le Manuscrit, </w:t>
      </w:r>
    </w:p>
    <w:p w14:paraId="638A1B09" w14:textId="77777777" w:rsidR="00070978" w:rsidRDefault="00070978" w:rsidP="00070978">
      <w:pPr>
        <w:rPr>
          <w:lang w:val="fr-FR"/>
        </w:rPr>
      </w:pPr>
      <w:r>
        <w:rPr>
          <w:lang w:val="fr-FR"/>
        </w:rPr>
        <w:t xml:space="preserve">            2012. </w:t>
      </w:r>
    </w:p>
    <w:p w14:paraId="443C0D59" w14:textId="77777777" w:rsidR="00070978" w:rsidRDefault="00070978" w:rsidP="00070978">
      <w:pPr>
        <w:numPr>
          <w:ilvl w:val="0"/>
          <w:numId w:val="2"/>
        </w:numPr>
        <w:rPr>
          <w:lang w:val="fr-FR"/>
        </w:rPr>
      </w:pPr>
      <w:r>
        <w:rPr>
          <w:shd w:val="clear" w:color="auto" w:fill="FFFFFF"/>
          <w:lang w:val="fr-FR"/>
        </w:rPr>
        <w:t>Bourgain Jean-François, « Le Paris perdu et retrouvé de Julien Green », in </w:t>
      </w:r>
      <w:r>
        <w:rPr>
          <w:i/>
          <w:iCs/>
          <w:shd w:val="clear" w:color="auto" w:fill="FFFFFF"/>
          <w:lang w:val="fr-FR"/>
        </w:rPr>
        <w:t>Études greeniennes</w:t>
      </w:r>
      <w:r>
        <w:rPr>
          <w:shd w:val="clear" w:color="auto" w:fill="FFFFFF"/>
          <w:lang w:val="fr-FR"/>
        </w:rPr>
        <w:t>, n° 4, 2012, pp. 21-34.</w:t>
      </w:r>
    </w:p>
    <w:p w14:paraId="4ED8EA72" w14:textId="77777777" w:rsidR="00070978" w:rsidRDefault="00070978" w:rsidP="00070978">
      <w:pPr>
        <w:numPr>
          <w:ilvl w:val="0"/>
          <w:numId w:val="2"/>
        </w:numPr>
        <w:rPr>
          <w:lang w:val="fr-FR"/>
        </w:rPr>
      </w:pPr>
      <w:r>
        <w:rPr>
          <w:shd w:val="clear" w:color="auto" w:fill="FFFFFF"/>
          <w:lang w:val="fr-FR"/>
        </w:rPr>
        <w:t>Perry Édith, « Flâneries à travers le Paris d’</w:t>
      </w:r>
      <w:r>
        <w:rPr>
          <w:i/>
          <w:iCs/>
          <w:shd w:val="clear" w:color="auto" w:fill="FFFFFF"/>
          <w:lang w:val="fr-FR"/>
        </w:rPr>
        <w:t>Épaves</w:t>
      </w:r>
      <w:r>
        <w:rPr>
          <w:shd w:val="clear" w:color="auto" w:fill="FFFFFF"/>
          <w:lang w:val="fr-FR"/>
        </w:rPr>
        <w:t> », </w:t>
      </w:r>
      <w:r>
        <w:rPr>
          <w:i/>
          <w:iCs/>
          <w:shd w:val="clear" w:color="auto" w:fill="FFFFFF"/>
          <w:lang w:val="fr-FR"/>
        </w:rPr>
        <w:t>Études greeniennes</w:t>
      </w:r>
      <w:r>
        <w:rPr>
          <w:shd w:val="clear" w:color="auto" w:fill="FFFFFF"/>
          <w:lang w:val="fr-FR"/>
        </w:rPr>
        <w:t>, n° 4, 2012, pp. 35-47.</w:t>
      </w:r>
    </w:p>
    <w:p w14:paraId="72A6EC74" w14:textId="77777777" w:rsidR="00070978" w:rsidRDefault="00070978" w:rsidP="00070978">
      <w:pPr>
        <w:pStyle w:val="Corpotesto"/>
        <w:spacing w:line="360" w:lineRule="auto"/>
        <w:ind w:right="-228"/>
        <w:jc w:val="both"/>
        <w:rPr>
          <w:rFonts w:ascii="Times New Roman" w:hAnsi="Times New Roman"/>
          <w:lang w:val="fr-FR"/>
        </w:rPr>
      </w:pPr>
    </w:p>
    <w:p w14:paraId="08CA2491" w14:textId="77777777" w:rsidR="00070978" w:rsidRDefault="00070978" w:rsidP="00070978">
      <w:pPr>
        <w:pStyle w:val="Corpotesto"/>
        <w:spacing w:line="360" w:lineRule="auto"/>
        <w:ind w:right="-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sz w:val="28"/>
          <w:szCs w:val="28"/>
          <w:u w:val="single"/>
        </w:rPr>
        <w:t>Silvie Germain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DE97D0E" w14:textId="77777777" w:rsidR="00070978" w:rsidRDefault="00070978" w:rsidP="00070978">
      <w:pPr>
        <w:pStyle w:val="Corpotesto"/>
        <w:numPr>
          <w:ilvl w:val="0"/>
          <w:numId w:val="3"/>
        </w:numPr>
        <w:ind w:right="-227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V.Landel, </w:t>
      </w:r>
      <w:r>
        <w:rPr>
          <w:rFonts w:ascii="Times New Roman" w:hAnsi="Times New Roman"/>
          <w:i/>
          <w:sz w:val="24"/>
          <w:szCs w:val="24"/>
          <w:lang w:val="fr-FR"/>
        </w:rPr>
        <w:t>Ensorcellements</w:t>
      </w:r>
      <w:r>
        <w:rPr>
          <w:rFonts w:ascii="Times New Roman" w:hAnsi="Times New Roman"/>
          <w:sz w:val="24"/>
          <w:szCs w:val="24"/>
          <w:lang w:val="fr-FR"/>
        </w:rPr>
        <w:t>, in “Magazine Littéraire”, n°340, février 1996, pp.62-63.</w:t>
      </w:r>
    </w:p>
    <w:p w14:paraId="116F6CA3" w14:textId="77777777" w:rsidR="00070978" w:rsidRDefault="00070978" w:rsidP="00070978">
      <w:pPr>
        <w:numPr>
          <w:ilvl w:val="0"/>
          <w:numId w:val="3"/>
        </w:numPr>
        <w:jc w:val="both"/>
        <w:rPr>
          <w:b/>
          <w:lang w:val="fr-FR"/>
        </w:rPr>
      </w:pPr>
      <w:r>
        <w:rPr>
          <w:lang w:val="fr-FR"/>
        </w:rPr>
        <w:t>M. Payot, S</w:t>
      </w:r>
      <w:r>
        <w:rPr>
          <w:i/>
          <w:iCs/>
          <w:lang w:val="fr-FR"/>
        </w:rPr>
        <w:t>ylvie Germain, au gré de passion</w:t>
      </w:r>
      <w:r>
        <w:rPr>
          <w:lang w:val="fr-FR"/>
        </w:rPr>
        <w:t>, in “Lire”, 242, février 1996, p.32.</w:t>
      </w:r>
    </w:p>
    <w:p w14:paraId="7AA767ED" w14:textId="77777777" w:rsidR="00070978" w:rsidRDefault="00070978" w:rsidP="00070978">
      <w:pPr>
        <w:numPr>
          <w:ilvl w:val="0"/>
          <w:numId w:val="3"/>
        </w:numPr>
        <w:jc w:val="both"/>
        <w:rPr>
          <w:b/>
          <w:lang w:val="en-GB"/>
        </w:rPr>
      </w:pPr>
      <w:r>
        <w:rPr>
          <w:lang w:val="en-GB"/>
        </w:rPr>
        <w:t>Y. Helm</w:t>
      </w:r>
      <w:r>
        <w:rPr>
          <w:rFonts w:ascii="Arial" w:hAnsi="Arial" w:cs="Arial"/>
          <w:lang w:val="en-GB"/>
        </w:rPr>
        <w:t xml:space="preserve">, </w:t>
      </w:r>
      <w:r>
        <w:rPr>
          <w:i/>
          <w:lang w:val="en-GB"/>
        </w:rPr>
        <w:t>Germain’s Éclats de sel</w:t>
      </w:r>
      <w:r>
        <w:rPr>
          <w:lang w:val="en-GB"/>
        </w:rPr>
        <w:t>, in «The French Review», vol. 71, 1997-1998, pp.136-167.</w:t>
      </w:r>
    </w:p>
    <w:p w14:paraId="034AF094" w14:textId="77777777" w:rsidR="00070978" w:rsidRDefault="00070978" w:rsidP="00070978">
      <w:pPr>
        <w:pStyle w:val="Corpotesto"/>
        <w:numPr>
          <w:ilvl w:val="0"/>
          <w:numId w:val="3"/>
        </w:numPr>
        <w:ind w:right="-227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A.Schaffner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fr-FR"/>
        </w:rPr>
        <w:t>L’Europe centrale dans les derniers romans de S.Germain</w:t>
      </w:r>
      <w:r>
        <w:rPr>
          <w:rFonts w:ascii="Times New Roman" w:hAnsi="Times New Roman"/>
          <w:sz w:val="24"/>
          <w:szCs w:val="24"/>
          <w:lang w:val="fr-FR"/>
        </w:rPr>
        <w:t xml:space="preserve">, in </w:t>
      </w:r>
      <w:r>
        <w:rPr>
          <w:rFonts w:ascii="Times New Roman" w:hAnsi="Times New Roman"/>
          <w:i/>
          <w:sz w:val="24"/>
          <w:szCs w:val="24"/>
          <w:lang w:val="fr-FR"/>
        </w:rPr>
        <w:t>Le roman et l’Europe</w:t>
      </w:r>
      <w:r>
        <w:rPr>
          <w:rFonts w:ascii="Times New Roman" w:hAnsi="Times New Roman"/>
          <w:sz w:val="24"/>
          <w:szCs w:val="24"/>
          <w:lang w:val="fr-FR"/>
        </w:rPr>
        <w:t>, sous la direction de J.Levi-Valensi et A.Fenet, Paris, PUF, 1997,pp. 341-351.</w:t>
      </w:r>
    </w:p>
    <w:p w14:paraId="6CFC0C72" w14:textId="77777777" w:rsidR="00070978" w:rsidRDefault="00070978" w:rsidP="00070978">
      <w:pPr>
        <w:pStyle w:val="Corpotesto"/>
        <w:numPr>
          <w:ilvl w:val="0"/>
          <w:numId w:val="3"/>
        </w:numPr>
        <w:ind w:right="-227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AA.VV.,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Sylvie Germain. Rose des vents et de l’ailleurs</w:t>
      </w:r>
      <w:r>
        <w:rPr>
          <w:rFonts w:ascii="Times New Roman" w:hAnsi="Times New Roman"/>
          <w:sz w:val="24"/>
          <w:szCs w:val="24"/>
          <w:lang w:val="fr-FR"/>
        </w:rPr>
        <w:t>. Textes réunis pas T. Garfitt</w:t>
      </w:r>
      <w:r>
        <w:rPr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Paris, L’Harmattan, 2003.</w:t>
      </w:r>
    </w:p>
    <w:p w14:paraId="1C76517A" w14:textId="77777777" w:rsidR="00070978" w:rsidRDefault="00070978" w:rsidP="00070978">
      <w:pPr>
        <w:pStyle w:val="Corpotesto"/>
        <w:numPr>
          <w:ilvl w:val="0"/>
          <w:numId w:val="3"/>
        </w:numPr>
        <w:ind w:right="-227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Badré, Sabine, « L’épiphanie ou l’envers du masque : la quête du visage dans </w:t>
      </w:r>
      <w:r>
        <w:rPr>
          <w:rStyle w:val="Enfasicorsivo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La Pleurante des rues de Prague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 et </w:t>
      </w:r>
      <w:r>
        <w:rPr>
          <w:rStyle w:val="Enfasicorsivo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Eclats de sel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 », in Toby GARFITT (dir.) </w:t>
      </w:r>
      <w:r>
        <w:rPr>
          <w:rStyle w:val="Enfasicorsivo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Sylvie Germain. Rose des vents et de l’ailleurs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, Paris, L’Harmattan, 2003, pp. 109-118.</w:t>
      </w:r>
    </w:p>
    <w:p w14:paraId="02207AA2" w14:textId="215F0074" w:rsidR="00070978" w:rsidRDefault="00070978" w:rsidP="00070978">
      <w:pPr>
        <w:pStyle w:val="Corpotesto"/>
        <w:numPr>
          <w:ilvl w:val="0"/>
          <w:numId w:val="3"/>
        </w:numPr>
        <w:ind w:right="-227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E.Bricco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fr-FR"/>
        </w:rPr>
        <w:t>S. Germain, romancière des destins perdus et retrouvés</w:t>
      </w:r>
      <w:r>
        <w:rPr>
          <w:rFonts w:ascii="Times New Roman" w:hAnsi="Times New Roman"/>
          <w:sz w:val="24"/>
          <w:szCs w:val="24"/>
          <w:lang w:val="fr-FR"/>
        </w:rPr>
        <w:t xml:space="preserve">, in </w:t>
      </w:r>
      <w:r>
        <w:rPr>
          <w:rFonts w:ascii="Times New Roman" w:hAnsi="Times New Roman"/>
          <w:i/>
          <w:sz w:val="24"/>
          <w:szCs w:val="24"/>
          <w:lang w:val="fr-FR"/>
        </w:rPr>
        <w:t>Trois études sur le roman de l’extrême contemporain</w:t>
      </w:r>
      <w:r>
        <w:rPr>
          <w:rFonts w:ascii="Times New Roman" w:hAnsi="Times New Roman"/>
          <w:sz w:val="24"/>
          <w:szCs w:val="24"/>
          <w:lang w:val="fr-FR"/>
        </w:rPr>
        <w:t>, sous la direction de R.Galli Pellegrini, Fasano, Schena, 2004, pp.53-120</w:t>
      </w:r>
      <w:r w:rsidR="002D162D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204FE307" w14:textId="54A12726" w:rsidR="00070978" w:rsidRDefault="00070978" w:rsidP="00070978">
      <w:pPr>
        <w:pStyle w:val="Corpotesto"/>
        <w:numPr>
          <w:ilvl w:val="0"/>
          <w:numId w:val="3"/>
        </w:numPr>
        <w:ind w:right="-227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B.Blankeman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fr-FR"/>
        </w:rPr>
        <w:t>Sylvie Germain : parcours d’une œuvre,</w:t>
      </w:r>
      <w:r>
        <w:rPr>
          <w:rFonts w:ascii="Times New Roman" w:hAnsi="Times New Roman"/>
          <w:sz w:val="24"/>
          <w:szCs w:val="24"/>
          <w:lang w:val="fr-FR"/>
        </w:rPr>
        <w:t xml:space="preserve"> in « Roman 20-50 », n° 39, 2005, pp.7-14</w:t>
      </w:r>
      <w:r w:rsidR="002D162D">
        <w:rPr>
          <w:rFonts w:ascii="Times New Roman" w:hAnsi="Times New Roman"/>
          <w:sz w:val="24"/>
          <w:szCs w:val="24"/>
          <w:lang w:val="fr-FR"/>
        </w:rPr>
        <w:t>.</w:t>
      </w:r>
    </w:p>
    <w:p w14:paraId="33C54ED9" w14:textId="77777777" w:rsidR="00070978" w:rsidRDefault="00070978" w:rsidP="00070978">
      <w:pPr>
        <w:numPr>
          <w:ilvl w:val="0"/>
          <w:numId w:val="3"/>
        </w:numPr>
        <w:jc w:val="both"/>
        <w:rPr>
          <w:b/>
          <w:lang w:val="en-GB"/>
        </w:rPr>
      </w:pPr>
      <w:r>
        <w:rPr>
          <w:lang w:val="en-GB"/>
        </w:rPr>
        <w:t xml:space="preserve">S. Spaes-Ducas, </w:t>
      </w:r>
      <w:r>
        <w:rPr>
          <w:i/>
          <w:lang w:val="en-GB"/>
        </w:rPr>
        <w:t>“Mémoire mendiante” et “image de l’encre”: l’écriture au seuil du mythe</w:t>
      </w:r>
      <w:r>
        <w:rPr>
          <w:lang w:val="en-GB"/>
        </w:rPr>
        <w:t xml:space="preserve">, in </w:t>
      </w:r>
      <w:bookmarkStart w:id="1" w:name="_Hlk28682267"/>
      <w:r>
        <w:rPr>
          <w:lang w:val="en-GB"/>
        </w:rPr>
        <w:t>«Roman 20-50», n° 39, 2005, pp.</w:t>
      </w:r>
      <w:bookmarkEnd w:id="1"/>
      <w:r>
        <w:rPr>
          <w:lang w:val="en-GB"/>
        </w:rPr>
        <w:t>85-96.</w:t>
      </w:r>
    </w:p>
    <w:p w14:paraId="336EA35D" w14:textId="5396CFD2" w:rsidR="00070978" w:rsidRDefault="00070978" w:rsidP="00070978">
      <w:pPr>
        <w:numPr>
          <w:ilvl w:val="0"/>
          <w:numId w:val="3"/>
        </w:numPr>
        <w:jc w:val="both"/>
        <w:rPr>
          <w:b/>
          <w:lang w:val="en-GB"/>
        </w:rPr>
      </w:pPr>
      <w:r>
        <w:rPr>
          <w:lang w:val="en-GB"/>
        </w:rPr>
        <w:t xml:space="preserve">H. Dottin, </w:t>
      </w:r>
      <w:r>
        <w:rPr>
          <w:i/>
          <w:iCs/>
          <w:lang w:val="en-GB"/>
        </w:rPr>
        <w:t xml:space="preserve">Des Ecritures à l’écriture: l’un des “étranges chemins </w:t>
      </w:r>
      <w:proofErr w:type="gramStart"/>
      <w:r>
        <w:rPr>
          <w:i/>
          <w:iCs/>
          <w:lang w:val="en-GB"/>
        </w:rPr>
        <w:t>“ men</w:t>
      </w:r>
      <w:r w:rsidR="000819A9">
        <w:rPr>
          <w:i/>
          <w:iCs/>
          <w:lang w:val="en-GB"/>
        </w:rPr>
        <w:t>a</w:t>
      </w:r>
      <w:r>
        <w:rPr>
          <w:i/>
          <w:iCs/>
          <w:lang w:val="en-GB"/>
        </w:rPr>
        <w:t>nt</w:t>
      </w:r>
      <w:proofErr w:type="gramEnd"/>
      <w:r>
        <w:rPr>
          <w:i/>
          <w:iCs/>
          <w:lang w:val="en-GB"/>
        </w:rPr>
        <w:t xml:space="preserve"> à la connaissance</w:t>
      </w:r>
      <w:r>
        <w:rPr>
          <w:lang w:val="en-GB"/>
        </w:rPr>
        <w:t>, in «Roman 20-50», n° 39, 2005, pp.97-105.</w:t>
      </w:r>
    </w:p>
    <w:p w14:paraId="367DFA08" w14:textId="77777777" w:rsidR="00070978" w:rsidRDefault="00070978" w:rsidP="00070978">
      <w:pPr>
        <w:pStyle w:val="Corpotesto"/>
        <w:numPr>
          <w:ilvl w:val="0"/>
          <w:numId w:val="3"/>
        </w:numPr>
        <w:ind w:right="-227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E. Bricco,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Eclats de sel de S. Germain : un roman </w:t>
      </w:r>
      <w:proofErr w:type="gramStart"/>
      <w:r>
        <w:rPr>
          <w:rFonts w:ascii="Times New Roman" w:hAnsi="Times New Roman"/>
          <w:i/>
          <w:sz w:val="24"/>
          <w:szCs w:val="24"/>
          <w:lang w:val="fr-FR"/>
        </w:rPr>
        <w:t>mosaïque</w:t>
      </w:r>
      <w:r>
        <w:rPr>
          <w:rFonts w:ascii="Times New Roman" w:hAnsi="Times New Roman"/>
          <w:sz w:val="24"/>
          <w:szCs w:val="24"/>
          <w:lang w:val="fr-FR"/>
        </w:rPr>
        <w:t> ?,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in « Publif@arum », n°5, 2006.(on line)</w:t>
      </w:r>
    </w:p>
    <w:p w14:paraId="19EDD72E" w14:textId="77777777" w:rsidR="00070978" w:rsidRDefault="00070978" w:rsidP="00070978">
      <w:pPr>
        <w:numPr>
          <w:ilvl w:val="0"/>
          <w:numId w:val="3"/>
        </w:numPr>
        <w:jc w:val="both"/>
        <w:rPr>
          <w:b/>
          <w:lang w:val="fr-FR"/>
        </w:rPr>
      </w:pPr>
      <w:r>
        <w:rPr>
          <w:lang w:val="fr-FR"/>
        </w:rPr>
        <w:t xml:space="preserve">Alain Goulet, </w:t>
      </w:r>
      <w:r>
        <w:rPr>
          <w:i/>
          <w:lang w:val="fr-FR"/>
        </w:rPr>
        <w:t xml:space="preserve">Sylvie </w:t>
      </w:r>
      <w:proofErr w:type="gramStart"/>
      <w:r>
        <w:rPr>
          <w:i/>
          <w:lang w:val="fr-FR"/>
        </w:rPr>
        <w:t>Germain:</w:t>
      </w:r>
      <w:proofErr w:type="gramEnd"/>
      <w:r>
        <w:rPr>
          <w:i/>
          <w:lang w:val="fr-FR"/>
        </w:rPr>
        <w:t xml:space="preserve"> œuvre romanesque</w:t>
      </w:r>
      <w:r>
        <w:rPr>
          <w:lang w:val="fr-FR"/>
        </w:rPr>
        <w:t>, Paris, L’Harmattan, 2006 .</w:t>
      </w:r>
    </w:p>
    <w:p w14:paraId="5464C41F" w14:textId="3A619D44" w:rsidR="00070978" w:rsidRPr="00CB77B7" w:rsidRDefault="00070978" w:rsidP="00070978">
      <w:pPr>
        <w:numPr>
          <w:ilvl w:val="0"/>
          <w:numId w:val="3"/>
        </w:numPr>
        <w:jc w:val="both"/>
        <w:rPr>
          <w:b/>
          <w:lang w:val="fr-FR"/>
        </w:rPr>
      </w:pPr>
      <w:r>
        <w:rPr>
          <w:lang w:val="fr-FR"/>
        </w:rPr>
        <w:t xml:space="preserve">M.-H. Boblet, </w:t>
      </w:r>
      <w:r>
        <w:rPr>
          <w:i/>
          <w:iCs/>
          <w:lang w:val="fr-FR"/>
        </w:rPr>
        <w:t>L'Holocauste dans les romans de Sylvie Germain :</w:t>
      </w:r>
      <w:r>
        <w:rPr>
          <w:b/>
          <w:i/>
          <w:iCs/>
          <w:lang w:val="fr-FR"/>
        </w:rPr>
        <w:t xml:space="preserve"> </w:t>
      </w:r>
      <w:r>
        <w:rPr>
          <w:i/>
          <w:iCs/>
          <w:lang w:val="fr-FR"/>
        </w:rPr>
        <w:t>allusions, hallucinations, méditations,</w:t>
      </w:r>
      <w:r>
        <w:rPr>
          <w:lang w:val="fr-FR"/>
        </w:rPr>
        <w:t xml:space="preserve"> in </w:t>
      </w:r>
      <w:r>
        <w:rPr>
          <w:b/>
          <w:lang w:val="fr-FR"/>
        </w:rPr>
        <w:t>« </w:t>
      </w:r>
      <w:r>
        <w:rPr>
          <w:lang w:val="fr-FR"/>
        </w:rPr>
        <w:t>L'Esprit Créateur », Vol. 50, No. 4 ,2010, pp. 67-</w:t>
      </w:r>
      <w:proofErr w:type="gramStart"/>
      <w:r>
        <w:rPr>
          <w:lang w:val="fr-FR"/>
        </w:rPr>
        <w:t>80.(</w:t>
      </w:r>
      <w:proofErr w:type="gramEnd"/>
      <w:r>
        <w:rPr>
          <w:lang w:val="fr-FR"/>
        </w:rPr>
        <w:t>en ligne</w:t>
      </w:r>
      <w:r w:rsidR="004D51B0">
        <w:rPr>
          <w:lang w:val="fr-FR"/>
        </w:rPr>
        <w:t xml:space="preserve"> sul sito della rivista</w:t>
      </w:r>
      <w:r>
        <w:rPr>
          <w:lang w:val="fr-FR"/>
        </w:rPr>
        <w:t>)</w:t>
      </w:r>
    </w:p>
    <w:p w14:paraId="38C4ACE2" w14:textId="77777777" w:rsidR="00CB77B7" w:rsidRPr="00CB77B7" w:rsidRDefault="00CB77B7" w:rsidP="00CB77B7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Robert Dion (2013), « Paysages de l’écrivain. Les villes biographiées (Fourvel, Pajak, Germain</w:t>
      </w:r>
      <w:proofErr w:type="gramStart"/>
      <w:r>
        <w:rPr>
          <w:lang w:val="fr-FR"/>
        </w:rPr>
        <w:t>)»</w:t>
      </w:r>
      <w:proofErr w:type="gramEnd"/>
      <w:r>
        <w:rPr>
          <w:lang w:val="fr-FR"/>
        </w:rPr>
        <w:t xml:space="preserve">,dans </w:t>
      </w:r>
      <w:r>
        <w:rPr>
          <w:i/>
          <w:iCs/>
          <w:lang w:val="fr-FR"/>
        </w:rPr>
        <w:t>Temps zéro</w:t>
      </w:r>
      <w:r>
        <w:rPr>
          <w:lang w:val="fr-FR"/>
        </w:rPr>
        <w:t xml:space="preserve">, nº 6 [en ligne]. </w:t>
      </w:r>
      <w:r>
        <w:rPr>
          <w:i/>
          <w:iCs/>
          <w:lang w:val="fr-FR"/>
        </w:rPr>
        <w:t>URL</w:t>
      </w:r>
      <w:proofErr w:type="gramStart"/>
      <w:r>
        <w:rPr>
          <w:i/>
          <w:iCs/>
          <w:lang w:val="fr-FR"/>
        </w:rPr>
        <w:t xml:space="preserve"> </w:t>
      </w:r>
      <w:r>
        <w:rPr>
          <w:lang w:val="fr-FR"/>
        </w:rPr>
        <w:t>:http</w:t>
      </w:r>
      <w:proofErr w:type="gramEnd"/>
      <w:r>
        <w:rPr>
          <w:lang w:val="fr-FR"/>
        </w:rPr>
        <w:t xml:space="preserve">:// tempszero. </w:t>
      </w:r>
      <w:proofErr w:type="gramStart"/>
      <w:r>
        <w:rPr>
          <w:lang w:val="fr-FR"/>
        </w:rPr>
        <w:t>contemporain</w:t>
      </w:r>
      <w:proofErr w:type="gramEnd"/>
      <w:r>
        <w:rPr>
          <w:lang w:val="fr-FR"/>
        </w:rPr>
        <w:t xml:space="preserve">. </w:t>
      </w:r>
      <w:proofErr w:type="gramStart"/>
      <w:r>
        <w:rPr>
          <w:lang w:val="fr-FR"/>
        </w:rPr>
        <w:t>info</w:t>
      </w:r>
      <w:proofErr w:type="gramEnd"/>
      <w:r>
        <w:rPr>
          <w:lang w:val="fr-FR"/>
        </w:rPr>
        <w:t>/ document929.(en ligne)</w:t>
      </w:r>
    </w:p>
    <w:p w14:paraId="6C2928D9" w14:textId="77777777" w:rsidR="00070978" w:rsidRDefault="00070978" w:rsidP="00070978">
      <w:pPr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Emine Guzel, </w:t>
      </w:r>
      <w:r>
        <w:rPr>
          <w:i/>
          <w:iCs/>
          <w:lang w:val="fr-FR"/>
        </w:rPr>
        <w:t xml:space="preserve">Une lecture psychanalytique de La Pleurante des rues de Prague : la voie qui mène </w:t>
      </w:r>
      <w:proofErr w:type="gramStart"/>
      <w:r>
        <w:rPr>
          <w:i/>
          <w:iCs/>
          <w:lang w:val="fr-FR"/>
        </w:rPr>
        <w:t>S.Germain</w:t>
      </w:r>
      <w:proofErr w:type="gramEnd"/>
      <w:r>
        <w:rPr>
          <w:i/>
          <w:iCs/>
          <w:lang w:val="fr-FR"/>
        </w:rPr>
        <w:t xml:space="preserve"> de la souffrance à la catharsis</w:t>
      </w:r>
      <w:r>
        <w:rPr>
          <w:lang w:val="fr-FR"/>
        </w:rPr>
        <w:t>, in</w:t>
      </w:r>
      <w:r>
        <w:rPr>
          <w:color w:val="000000"/>
          <w:lang w:val="fr-FR"/>
        </w:rPr>
        <w:t xml:space="preserve"> « HUMANITAS .</w:t>
      </w:r>
      <w:r>
        <w:rPr>
          <w:lang w:val="fr-FR"/>
        </w:rPr>
        <w:t>International Journal of Social Sciences</w:t>
      </w:r>
      <w:r>
        <w:rPr>
          <w:color w:val="000000"/>
          <w:lang w:val="fr-FR"/>
        </w:rPr>
        <w:t>»</w:t>
      </w:r>
      <w:r>
        <w:rPr>
          <w:b/>
          <w:bCs/>
          <w:color w:val="666665"/>
          <w:lang w:val="fr-FR"/>
        </w:rPr>
        <w:t xml:space="preserve">, </w:t>
      </w:r>
      <w:r>
        <w:rPr>
          <w:lang w:val="fr-FR"/>
        </w:rPr>
        <w:t>n° 4</w:t>
      </w:r>
      <w:r>
        <w:rPr>
          <w:b/>
          <w:bCs/>
          <w:lang w:val="fr-FR"/>
        </w:rPr>
        <w:t>,</w:t>
      </w:r>
      <w:r>
        <w:rPr>
          <w:lang w:val="fr-FR"/>
        </w:rPr>
        <w:t xml:space="preserve"> Güz / Autumn, Tekirdağ, 2014,pp. 153-163. (</w:t>
      </w:r>
      <w:proofErr w:type="gramStart"/>
      <w:r>
        <w:rPr>
          <w:lang w:val="fr-FR"/>
        </w:rPr>
        <w:t>en</w:t>
      </w:r>
      <w:proofErr w:type="gramEnd"/>
      <w:r>
        <w:rPr>
          <w:lang w:val="fr-FR"/>
        </w:rPr>
        <w:t xml:space="preserve"> ligne)</w:t>
      </w:r>
    </w:p>
    <w:p w14:paraId="0211095E" w14:textId="77777777" w:rsidR="00070978" w:rsidRDefault="00070978" w:rsidP="00070978">
      <w:pPr>
        <w:numPr>
          <w:ilvl w:val="0"/>
          <w:numId w:val="3"/>
        </w:numPr>
        <w:jc w:val="both"/>
        <w:rPr>
          <w:b/>
          <w:lang w:val="en-GB"/>
        </w:rPr>
      </w:pPr>
      <w:r>
        <w:rPr>
          <w:color w:val="000000"/>
          <w:shd w:val="clear" w:color="auto" w:fill="FFFFFF"/>
          <w:lang w:val="fr-FR"/>
        </w:rPr>
        <w:t>MORIS-STEFKOVIC, Milène, « La poésie visuelle dans </w:t>
      </w:r>
      <w:r>
        <w:rPr>
          <w:rStyle w:val="Enfasicorsivo"/>
          <w:color w:val="000000"/>
          <w:shd w:val="clear" w:color="auto" w:fill="FFFFFF"/>
          <w:lang w:val="fr-FR"/>
        </w:rPr>
        <w:t>Éclats de sel</w:t>
      </w:r>
      <w:r>
        <w:rPr>
          <w:color w:val="000000"/>
          <w:shd w:val="clear" w:color="auto" w:fill="FFFFFF"/>
          <w:lang w:val="fr-FR"/>
        </w:rPr>
        <w:t> », dans </w:t>
      </w:r>
      <w:r>
        <w:rPr>
          <w:rStyle w:val="Enfasicorsivo"/>
          <w:color w:val="000000"/>
          <w:shd w:val="clear" w:color="auto" w:fill="FFFFFF"/>
          <w:lang w:val="fr-FR"/>
        </w:rPr>
        <w:t>Vision et poésie dans l’œuvre romanesque de Sylvie Germain</w:t>
      </w:r>
      <w:r>
        <w:rPr>
          <w:color w:val="000000"/>
          <w:shd w:val="clear" w:color="auto" w:fill="FFFFFF"/>
          <w:lang w:val="fr-FR"/>
        </w:rPr>
        <w:t xml:space="preserve">, Paris, Honoré Champion, 2014, pp. 127-151. </w:t>
      </w:r>
    </w:p>
    <w:p w14:paraId="62A10A6D" w14:textId="77777777" w:rsidR="00070978" w:rsidRDefault="00070978" w:rsidP="00070978">
      <w:pPr>
        <w:numPr>
          <w:ilvl w:val="0"/>
          <w:numId w:val="3"/>
        </w:numPr>
        <w:jc w:val="both"/>
        <w:rPr>
          <w:b/>
          <w:lang w:val="en-GB"/>
        </w:rPr>
      </w:pPr>
      <w:r>
        <w:rPr>
          <w:i/>
          <w:iCs/>
          <w:lang w:val="fr-FR"/>
        </w:rPr>
        <w:t>Sylvie Germain devant le mystère, le fantastique, le merveilleux</w:t>
      </w:r>
      <w:r>
        <w:rPr>
          <w:lang w:val="fr-FR"/>
        </w:rPr>
        <w:t>, Alain Goulet (dir.</w:t>
      </w:r>
      <w:proofErr w:type="gramStart"/>
      <w:r>
        <w:rPr>
          <w:lang w:val="fr-FR"/>
        </w:rPr>
        <w:t>),  Caen</w:t>
      </w:r>
      <w:proofErr w:type="gramEnd"/>
      <w:r>
        <w:rPr>
          <w:lang w:val="fr-FR"/>
        </w:rPr>
        <w:t>, Éditions Presses universitaires de Caen, 2015.</w:t>
      </w:r>
    </w:p>
    <w:p w14:paraId="5719E90A" w14:textId="77777777" w:rsidR="00070978" w:rsidRDefault="00070978" w:rsidP="00070978">
      <w:pPr>
        <w:ind w:left="360"/>
        <w:jc w:val="both"/>
        <w:rPr>
          <w:lang w:val="en-GB"/>
        </w:rPr>
      </w:pPr>
    </w:p>
    <w:p w14:paraId="180E15A1" w14:textId="77777777" w:rsidR="00070978" w:rsidRDefault="00070978" w:rsidP="00070978">
      <w:pPr>
        <w:ind w:left="360"/>
        <w:jc w:val="both"/>
        <w:rPr>
          <w:b/>
          <w:lang w:val="en-GB"/>
        </w:rPr>
      </w:pPr>
    </w:p>
    <w:p w14:paraId="6F6071AA" w14:textId="77777777" w:rsidR="00070978" w:rsidRDefault="00070978" w:rsidP="00070978">
      <w:pPr>
        <w:jc w:val="both"/>
        <w:rPr>
          <w:b/>
          <w:lang w:val="en-GB"/>
        </w:rPr>
      </w:pPr>
    </w:p>
    <w:p w14:paraId="61F57F17" w14:textId="77777777" w:rsidR="00070978" w:rsidRDefault="00070978" w:rsidP="0007097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D) </w:t>
      </w:r>
      <w:r>
        <w:rPr>
          <w:sz w:val="28"/>
          <w:szCs w:val="28"/>
          <w:u w:val="single"/>
        </w:rPr>
        <w:t>Letteratura e spazio</w:t>
      </w:r>
    </w:p>
    <w:p w14:paraId="22198AC5" w14:textId="77777777" w:rsidR="00070978" w:rsidRDefault="00070978" w:rsidP="00070978">
      <w:pPr>
        <w:jc w:val="both"/>
        <w:rPr>
          <w:sz w:val="28"/>
          <w:szCs w:val="28"/>
        </w:rPr>
      </w:pPr>
    </w:p>
    <w:p w14:paraId="48ED733E" w14:textId="77777777" w:rsidR="00070978" w:rsidRDefault="00070978" w:rsidP="00070978">
      <w:pPr>
        <w:numPr>
          <w:ilvl w:val="0"/>
          <w:numId w:val="4"/>
        </w:numPr>
        <w:jc w:val="both"/>
        <w:rPr>
          <w:lang w:val="fr-FR"/>
        </w:rPr>
      </w:pPr>
      <w:proofErr w:type="gramStart"/>
      <w:r>
        <w:rPr>
          <w:lang w:val="fr-FR"/>
        </w:rPr>
        <w:t>G.Genette</w:t>
      </w:r>
      <w:proofErr w:type="gramEnd"/>
      <w:r>
        <w:rPr>
          <w:lang w:val="fr-FR"/>
        </w:rPr>
        <w:t xml:space="preserve">, </w:t>
      </w:r>
      <w:r>
        <w:rPr>
          <w:i/>
          <w:iCs/>
          <w:lang w:val="fr-FR"/>
        </w:rPr>
        <w:t>Figures II</w:t>
      </w:r>
      <w:r>
        <w:rPr>
          <w:lang w:val="fr-FR"/>
        </w:rPr>
        <w:t>, Paris, Seuil, 1969</w:t>
      </w:r>
    </w:p>
    <w:p w14:paraId="586AFCE5" w14:textId="77777777" w:rsidR="00070978" w:rsidRDefault="00070978" w:rsidP="00070978">
      <w:pPr>
        <w:numPr>
          <w:ilvl w:val="0"/>
          <w:numId w:val="4"/>
        </w:numPr>
        <w:jc w:val="both"/>
        <w:rPr>
          <w:rFonts w:eastAsia="Calibri"/>
          <w:b/>
          <w:lang w:val="fr-FR"/>
        </w:rPr>
      </w:pPr>
      <w:r>
        <w:rPr>
          <w:lang w:val="fr-FR"/>
        </w:rPr>
        <w:t xml:space="preserve">Michel de Certeau, </w:t>
      </w:r>
      <w:r>
        <w:rPr>
          <w:i/>
          <w:lang w:val="fr-FR"/>
        </w:rPr>
        <w:t>L’invention du quotidien</w:t>
      </w:r>
      <w:r>
        <w:rPr>
          <w:rFonts w:eastAsia="Calibri"/>
          <w:lang w:val="fr-FR"/>
        </w:rPr>
        <w:t xml:space="preserve">. I. </w:t>
      </w:r>
      <w:r>
        <w:rPr>
          <w:rFonts w:eastAsia="Calibri"/>
          <w:i/>
          <w:lang w:val="fr-FR"/>
        </w:rPr>
        <w:t>Arts de faire</w:t>
      </w:r>
      <w:r>
        <w:rPr>
          <w:rFonts w:eastAsia="Calibri"/>
          <w:lang w:val="fr-FR"/>
        </w:rPr>
        <w:t>, nouvelle édition, établie et présentée par Luce Giard, Paris, Gallimard, 1990</w:t>
      </w:r>
      <w:r>
        <w:rPr>
          <w:lang w:val="fr-FR"/>
        </w:rPr>
        <w:t>.</w:t>
      </w:r>
    </w:p>
    <w:p w14:paraId="1B74C233" w14:textId="77777777" w:rsidR="00070978" w:rsidRDefault="00070978" w:rsidP="00070978">
      <w:pPr>
        <w:numPr>
          <w:ilvl w:val="0"/>
          <w:numId w:val="4"/>
        </w:numPr>
        <w:spacing w:line="360" w:lineRule="auto"/>
        <w:jc w:val="both"/>
        <w:rPr>
          <w:b/>
          <w:lang w:val="fr-FR"/>
        </w:rPr>
      </w:pPr>
      <w:r>
        <w:rPr>
          <w:lang w:val="fr-FR"/>
        </w:rPr>
        <w:t xml:space="preserve">Marc Augé, </w:t>
      </w:r>
      <w:r>
        <w:rPr>
          <w:i/>
          <w:lang w:val="fr-FR"/>
        </w:rPr>
        <w:t>Non-lieux</w:t>
      </w:r>
      <w:r>
        <w:rPr>
          <w:lang w:val="fr-FR"/>
        </w:rPr>
        <w:t>, Paris, Seuil, 1992</w:t>
      </w:r>
    </w:p>
    <w:p w14:paraId="694ACC4E" w14:textId="77777777" w:rsidR="00070978" w:rsidRDefault="00070978" w:rsidP="00070978">
      <w:pPr>
        <w:numPr>
          <w:ilvl w:val="0"/>
          <w:numId w:val="4"/>
        </w:numPr>
        <w:ind w:left="714" w:hanging="357"/>
        <w:jc w:val="both"/>
        <w:rPr>
          <w:b/>
          <w:lang w:val="fr-FR"/>
        </w:rPr>
      </w:pPr>
      <w:r>
        <w:rPr>
          <w:lang w:val="fr-FR"/>
        </w:rPr>
        <w:t xml:space="preserve">Joël Thomas, </w:t>
      </w:r>
      <w:r>
        <w:rPr>
          <w:i/>
          <w:lang w:val="fr-FR"/>
        </w:rPr>
        <w:t>Introduction aux méthodologies de l’imaginaire</w:t>
      </w:r>
      <w:r>
        <w:rPr>
          <w:lang w:val="fr-FR"/>
        </w:rPr>
        <w:t>, Paris, Ellipses,1998.</w:t>
      </w:r>
    </w:p>
    <w:p w14:paraId="758CCBDC" w14:textId="77777777" w:rsidR="00070978" w:rsidRDefault="00070978" w:rsidP="00070978">
      <w:pPr>
        <w:numPr>
          <w:ilvl w:val="0"/>
          <w:numId w:val="4"/>
        </w:numPr>
        <w:ind w:left="714" w:hanging="357"/>
        <w:jc w:val="both"/>
        <w:rPr>
          <w:b/>
        </w:rPr>
      </w:pPr>
      <w:r>
        <w:rPr>
          <w:i/>
        </w:rPr>
        <w:t>Itinerari urbani: l'immagine della città nella letteratura francese dal Cinquecento al Duemila</w:t>
      </w:r>
      <w:r>
        <w:t>. A cura di</w:t>
      </w:r>
      <w:r>
        <w:rPr>
          <w:b/>
          <w:color w:val="FF0000"/>
        </w:rPr>
        <w:t xml:space="preserve"> </w:t>
      </w:r>
      <w:r>
        <w:t>Gianfranco Rubino e Gabriella Violato</w:t>
      </w:r>
      <w:r>
        <w:rPr>
          <w:b/>
        </w:rPr>
        <w:t xml:space="preserve">, </w:t>
      </w:r>
      <w:r>
        <w:t>Roma, Bulzoni, 2005.</w:t>
      </w:r>
    </w:p>
    <w:p w14:paraId="3575BCF8" w14:textId="77777777" w:rsidR="00070978" w:rsidRDefault="00070978" w:rsidP="00070978">
      <w:pPr>
        <w:numPr>
          <w:ilvl w:val="0"/>
          <w:numId w:val="4"/>
        </w:numPr>
        <w:jc w:val="both"/>
      </w:pPr>
      <w:r>
        <w:t xml:space="preserve">G. Steiner, </w:t>
      </w:r>
      <w:r>
        <w:rPr>
          <w:i/>
        </w:rPr>
        <w:t>Una certa idea di Europa</w:t>
      </w:r>
      <w:r>
        <w:t>, Milano, Garzanti, 2007.</w:t>
      </w:r>
    </w:p>
    <w:p w14:paraId="00DF4E4A" w14:textId="77777777" w:rsidR="00070978" w:rsidRDefault="00070978" w:rsidP="00070978">
      <w:pPr>
        <w:numPr>
          <w:ilvl w:val="0"/>
          <w:numId w:val="4"/>
        </w:numPr>
        <w:ind w:left="714" w:hanging="357"/>
        <w:jc w:val="both"/>
        <w:rPr>
          <w:b/>
          <w:lang w:val="fr-FR"/>
        </w:rPr>
      </w:pPr>
      <w:proofErr w:type="gramStart"/>
      <w:r>
        <w:rPr>
          <w:lang w:val="fr-FR"/>
        </w:rPr>
        <w:t>Ch.Horvath</w:t>
      </w:r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>Le roman urbain contemporain en France</w:t>
      </w:r>
      <w:r>
        <w:rPr>
          <w:lang w:val="fr-FR"/>
        </w:rPr>
        <w:t xml:space="preserve">, Paris, Presses de </w:t>
      </w:r>
      <w:smartTag w:uri="urn:schemas-microsoft-com:office:smarttags" w:element="PersonName">
        <w:smartTagPr>
          <w:attr w:name="ProductID" w:val="la Sorbonne Nouvelle"/>
        </w:smartTagPr>
        <w:smartTag w:uri="urn:schemas-microsoft-com:office:smarttags" w:element="PersonName">
          <w:smartTagPr>
            <w:attr w:name="ProductID" w:val="la Sorbonne"/>
          </w:smartTagPr>
          <w:r>
            <w:rPr>
              <w:lang w:val="fr-FR"/>
            </w:rPr>
            <w:t>la Sorbonne</w:t>
          </w:r>
        </w:smartTag>
        <w:r>
          <w:rPr>
            <w:lang w:val="fr-FR"/>
          </w:rPr>
          <w:t xml:space="preserve"> Nouvelle</w:t>
        </w:r>
      </w:smartTag>
      <w:r>
        <w:rPr>
          <w:lang w:val="fr-FR"/>
        </w:rPr>
        <w:t>, 2007, capp. 1-2 (pp.13-41) e cap.5 (pp.81-95).</w:t>
      </w:r>
    </w:p>
    <w:p w14:paraId="11CB1858" w14:textId="79C53FED" w:rsidR="00070978" w:rsidRDefault="00070978" w:rsidP="00070978">
      <w:pPr>
        <w:numPr>
          <w:ilvl w:val="0"/>
          <w:numId w:val="4"/>
        </w:numPr>
        <w:ind w:left="714" w:hanging="357"/>
        <w:jc w:val="both"/>
        <w:rPr>
          <w:b/>
          <w:lang w:val="fr-FR"/>
        </w:rPr>
      </w:pPr>
      <w:proofErr w:type="gramStart"/>
      <w:r>
        <w:rPr>
          <w:lang w:val="fr-FR"/>
        </w:rPr>
        <w:t>R.Bouvet</w:t>
      </w:r>
      <w:proofErr w:type="gramEnd"/>
      <w:r>
        <w:rPr>
          <w:lang w:val="fr-FR"/>
        </w:rPr>
        <w:t xml:space="preserve">, </w:t>
      </w:r>
      <w:r>
        <w:rPr>
          <w:i/>
          <w:lang w:val="fr-FR"/>
        </w:rPr>
        <w:t>Topographier pour comprendre l’espace romanesque</w:t>
      </w:r>
      <w:r>
        <w:rPr>
          <w:lang w:val="fr-FR"/>
        </w:rPr>
        <w:t xml:space="preserve">, in </w:t>
      </w:r>
      <w:r>
        <w:rPr>
          <w:i/>
          <w:lang w:val="fr-FR"/>
        </w:rPr>
        <w:t>Topographies romanesques,</w:t>
      </w:r>
      <w:r>
        <w:rPr>
          <w:lang w:val="fr-FR"/>
        </w:rPr>
        <w:t xml:space="preserve"> sous la direction de A.Camus et R.Bouvet, Rennes, Presses un</w:t>
      </w:r>
      <w:r w:rsidR="0037252B">
        <w:rPr>
          <w:lang w:val="fr-FR"/>
        </w:rPr>
        <w:t>i</w:t>
      </w:r>
      <w:r>
        <w:rPr>
          <w:lang w:val="fr-FR"/>
        </w:rPr>
        <w:t>versitaires de Rennes, 2011, pp. 79-91.</w:t>
      </w:r>
    </w:p>
    <w:p w14:paraId="3771A8EF" w14:textId="77777777" w:rsidR="00070978" w:rsidRDefault="00070978" w:rsidP="00070978">
      <w:pPr>
        <w:ind w:left="720"/>
        <w:jc w:val="both"/>
        <w:rPr>
          <w:lang w:val="fr-FR"/>
        </w:rPr>
      </w:pPr>
    </w:p>
    <w:p w14:paraId="1E6AAA50" w14:textId="77777777" w:rsidR="00E57453" w:rsidRPr="00070978" w:rsidRDefault="00E57453">
      <w:pPr>
        <w:rPr>
          <w:lang w:val="fr-FR"/>
        </w:rPr>
      </w:pPr>
    </w:p>
    <w:sectPr w:rsidR="00E57453" w:rsidRPr="00070978" w:rsidSect="00E57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64B"/>
    <w:multiLevelType w:val="hybridMultilevel"/>
    <w:tmpl w:val="2F7AD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465BF4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F3195"/>
    <w:multiLevelType w:val="hybridMultilevel"/>
    <w:tmpl w:val="249E4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055A2"/>
    <w:multiLevelType w:val="hybridMultilevel"/>
    <w:tmpl w:val="42A2D25E"/>
    <w:lvl w:ilvl="0" w:tplc="CC6E4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4DC7"/>
    <w:multiLevelType w:val="hybridMultilevel"/>
    <w:tmpl w:val="B1769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502F6"/>
    <w:multiLevelType w:val="hybridMultilevel"/>
    <w:tmpl w:val="91AC01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E16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27E1"/>
    <w:multiLevelType w:val="hybridMultilevel"/>
    <w:tmpl w:val="38882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546268">
    <w:abstractNumId w:val="0"/>
  </w:num>
  <w:num w:numId="2" w16cid:durableId="416290565">
    <w:abstractNumId w:val="3"/>
  </w:num>
  <w:num w:numId="3" w16cid:durableId="380062459">
    <w:abstractNumId w:val="4"/>
  </w:num>
  <w:num w:numId="4" w16cid:durableId="812791624">
    <w:abstractNumId w:val="5"/>
  </w:num>
  <w:num w:numId="5" w16cid:durableId="1421872080">
    <w:abstractNumId w:val="2"/>
  </w:num>
  <w:num w:numId="6" w16cid:durableId="157223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78"/>
    <w:rsid w:val="000555F9"/>
    <w:rsid w:val="00070978"/>
    <w:rsid w:val="000819A9"/>
    <w:rsid w:val="000940B4"/>
    <w:rsid w:val="002D162D"/>
    <w:rsid w:val="003441B4"/>
    <w:rsid w:val="0037252B"/>
    <w:rsid w:val="004D51B0"/>
    <w:rsid w:val="00667B88"/>
    <w:rsid w:val="0069671C"/>
    <w:rsid w:val="00B42D68"/>
    <w:rsid w:val="00CB77B7"/>
    <w:rsid w:val="00E57453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ABC79C"/>
  <w15:chartTrackingRefBased/>
  <w15:docId w15:val="{96FD3664-DA4C-491A-9FA8-5601FE1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6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967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967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6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696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67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69671C"/>
    <w:rPr>
      <w:b/>
      <w:bCs/>
    </w:rPr>
  </w:style>
  <w:style w:type="character" w:styleId="Enfasicorsivo">
    <w:name w:val="Emphasis"/>
    <w:basedOn w:val="Carpredefinitoparagrafo"/>
    <w:uiPriority w:val="20"/>
    <w:qFormat/>
    <w:rsid w:val="0069671C"/>
    <w:rPr>
      <w:i/>
      <w:iCs/>
    </w:rPr>
  </w:style>
  <w:style w:type="paragraph" w:styleId="Nessunaspaziatura">
    <w:name w:val="No Spacing"/>
    <w:uiPriority w:val="1"/>
    <w:qFormat/>
    <w:rsid w:val="0069671C"/>
    <w:pPr>
      <w:spacing w:after="0" w:line="240" w:lineRule="auto"/>
    </w:pPr>
  </w:style>
  <w:style w:type="character" w:styleId="Collegamentoipertestuale">
    <w:name w:val="Hyperlink"/>
    <w:semiHidden/>
    <w:unhideWhenUsed/>
    <w:rsid w:val="00070978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070978"/>
    <w:rPr>
      <w:rFonts w:ascii="Bookman Old Style" w:hAnsi="Bookman Old Style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070978"/>
    <w:rPr>
      <w:rFonts w:ascii="Bookman Old Style" w:eastAsia="Times New Roman" w:hAnsi="Bookman Old Style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9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Fabiani</cp:lastModifiedBy>
  <cp:revision>10</cp:revision>
  <dcterms:created xsi:type="dcterms:W3CDTF">2020-02-17T07:43:00Z</dcterms:created>
  <dcterms:modified xsi:type="dcterms:W3CDTF">2023-10-10T16:13:00Z</dcterms:modified>
</cp:coreProperties>
</file>