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GIORGIO TORRESETTI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dal gennaio 2001 ricercatore nel settore disciplinare JUS 20 presso 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degli studi di Macerata; presso la stessa Universit</w:t>
      </w:r>
      <w:r>
        <w:rPr>
          <w:sz w:val="24"/>
          <w:szCs w:val="24"/>
          <w:rtl w:val="0"/>
          <w:lang w:val="it-IT"/>
        </w:rPr>
        <w:t xml:space="preserve">à è </w:t>
      </w:r>
      <w:r>
        <w:rPr>
          <w:sz w:val="24"/>
          <w:szCs w:val="24"/>
          <w:rtl w:val="0"/>
          <w:lang w:val="it-IT"/>
        </w:rPr>
        <w:t>Professore aggregato ed ha tenuto corsi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insegnamento di Filosofia del diritto, di Teoria generale dello Stato e di Teoria generale del Diritto. 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E' membro del Comitato scientifico della Collana Teorie del diritto e della politica pubblicata da Giappichelli e della Collana Limina pubblicata da Aracne. E' componente del Comitato scientifico e di redazione della Rivista </w:t>
      </w:r>
      <w:r>
        <w:rPr>
          <w:i w:val="1"/>
          <w:iCs w:val="1"/>
          <w:sz w:val="24"/>
          <w:szCs w:val="24"/>
          <w:rtl w:val="0"/>
          <w:lang w:val="it-IT"/>
        </w:rPr>
        <w:t>Salute e Prevenzione</w:t>
      </w:r>
      <w:r>
        <w:rPr>
          <w:sz w:val="24"/>
          <w:szCs w:val="24"/>
          <w:rtl w:val="0"/>
          <w:lang w:val="it-IT"/>
        </w:rPr>
        <w:t xml:space="preserve"> edita da Franco Angeli.</w:t>
      </w: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A. Titoli scientifici.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Laurea con lode in Filosofia nell'Universit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Macerata, con una tesi in Filosofia del diritto, seguita dal prof. Bruno Romano, sul saggio hegeliano sul diritto naturale;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Diploma con lode nel gennaio nella Scuola di perfezionamento in Filosofia del diritto dell'Universit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degli studi di Roma "La Sapienza" con una tesi, seguita dal prof. Sergio Cotta, su Il tema della Costituzione nei Lineamenti di filosofia del diritto di Hegel;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Dottore di ricerca in Filosofia del diritto, Teoria generale del diritto, Filosofia della politica con una tesi, seguita dal prof. Sergio Cotta, dal titolo Leibniz e il problema del diritto, depositata presso le Biblioteche nazionali di Roma e di Firenze.</w:t>
      </w: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B. Esperienze di lavoro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Dal 1981 al 1989 ha svolto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d'insegnamento presso diverse istituzioni scolastiche.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Dal gennaio 1990 al dicembre 2000 ha svolto l'attivit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Collaboratore tecnico (VII livello) presso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degli studi di Macerata.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- Dal gennaio del 2001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Ricercatore di Filosofia del diritto (settore disciplinare JUS/20) presso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degli studi di Macerata.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Nella stessa Universit</w:t>
      </w:r>
      <w:r>
        <w:rPr>
          <w:sz w:val="24"/>
          <w:szCs w:val="24"/>
          <w:rtl w:val="0"/>
          <w:lang w:val="it-IT"/>
        </w:rPr>
        <w:t>à</w:t>
      </w:r>
      <w:r>
        <w:rPr>
          <w:sz w:val="24"/>
          <w:szCs w:val="24"/>
          <w:rtl w:val="0"/>
          <w:lang w:val="it-IT"/>
        </w:rPr>
        <w:t>, dal 2001 ha tenuto diversi corsi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insegnamento: Filosofia del diritto, Teoria generale dello Stato e Teoria generale del </w:t>
      </w:r>
      <w:r>
        <w:rPr>
          <w:sz w:val="24"/>
          <w:szCs w:val="24"/>
          <w:rtl w:val="0"/>
          <w:lang w:val="it-IT"/>
        </w:rPr>
        <w:t>diritto.</w:t>
      </w: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 C. Elenco delle pubblicazioni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1. Principali articoli e saggi: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La concezione hegeliana dello stato politico come sintesi della libert</w:t>
      </w:r>
      <w:r>
        <w:rPr>
          <w:sz w:val="24"/>
          <w:szCs w:val="24"/>
          <w:rtl w:val="0"/>
          <w:lang w:val="it-IT"/>
        </w:rPr>
        <w:t>à</w:t>
      </w:r>
      <w:r>
        <w:rPr>
          <w:sz w:val="24"/>
          <w:szCs w:val="24"/>
          <w:rtl w:val="0"/>
          <w:lang w:val="it-IT"/>
        </w:rPr>
        <w:t>, in Rivista internazionale di filosofia del diritto, IV, 1984, pp.647-683;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Manipolazioni genetiche e diritto, in RIFD, IV, 1985, pp.583-595;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Leibniz e il problema del diritto, tesi dottorale, Roma Firenze, 1987;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Il diritto tra fatto e ragione: alcune riflessioni nella prospettiva di Leibniz, in AA.VV., Pensando al diritto, Giappichelli, Torino 1999, pp. 289-338;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Soggetto, libert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e imputazione nelle tossicodipendenze, in Salute e prevenzione, ed. F.Angeli, Milano, 2002, 30, III/2001, pp. 71-82;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Realt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globale, diversit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culturale e ragione universale, in AA.VV., L'immigrazione tra diritti e politica globale, Giappichelli Torino, 2002, pp.21-46;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Stato nazionale, 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civile ebraica e diritti umani: attualit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del pensiero giuridico di Hannah Arendt, in AA.VV., Sovranit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e diritto, Giappichelli, Torino 2004, pp.45-81;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Presentazione, in AA.VV., Famiglia e 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oggi: la grande emergenza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l'educazione, Edizioni scientifiche DITE- Pars edizioni, Foggia 2006, pp. 4-7;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AA.VV. (curatore) Diritto, politica e realt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sociale nell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epoca della globalizzazione. Atti del XXIII Congresso della 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Italiana di Filosofia giuridica e politica, EUM,, Macerata 2008;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La piazza nella citt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contemporanea, in AA.VV., Progetto Agor</w:t>
      </w:r>
      <w:r>
        <w:rPr>
          <w:sz w:val="24"/>
          <w:szCs w:val="24"/>
          <w:rtl w:val="0"/>
          <w:lang w:val="it-IT"/>
        </w:rPr>
        <w:t>à</w:t>
      </w:r>
      <w:r>
        <w:rPr>
          <w:sz w:val="24"/>
          <w:szCs w:val="24"/>
          <w:rtl w:val="0"/>
          <w:lang w:val="it-IT"/>
        </w:rPr>
        <w:t>. Le piazze del maceratese. Bellezza e specificit</w:t>
      </w:r>
      <w:r>
        <w:rPr>
          <w:sz w:val="24"/>
          <w:szCs w:val="24"/>
          <w:rtl w:val="0"/>
          <w:lang w:val="it-IT"/>
        </w:rPr>
        <w:t>à</w:t>
      </w:r>
      <w:r>
        <w:rPr>
          <w:sz w:val="24"/>
          <w:szCs w:val="24"/>
          <w:rtl w:val="0"/>
          <w:lang w:val="it-IT"/>
        </w:rPr>
        <w:t>. Convergenze edizioni - Dite Pars edizioni, Civitanova Marche (MC) 2012, pp. 168-171.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Oltre il dominio. In: (a cura di) Ballarini Adriano, Prometeo. Studi sull'uguaglianza, la democrazia, la laicit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dello Stato,  Giappichelli, Torino 2015, pp. 277-291.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et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 Totalitarismi. H. Arendt e S. Weil: un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ipotesi di ricerca, in La storicit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 diritto, Giappichelli Torino 2019 (in corso di pubblicazione).</w:t>
      </w: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2. Monografie: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Crisi e rinascita del diritto naturale in Leibniz, Giuffr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it-IT"/>
        </w:rPr>
        <w:t>, Milano 2000, pp. XII-206;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L'impero della ragione. Ars Combinatoria: la concezione ermeneutica del diritto in Leibniz, EUM, Macerata 2008, pp.1-177;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Plurality. La legge della terra in Hannah Arendt, Giappichelli, Torino 2012, pp. XX-250.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La frattura e il crollo, Aracne, Roma 2013, pp.11-137.</w:t>
      </w: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D.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didattica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-Negli anni della Scuola di perfezionamento e del Dottorato di ricerca, dal 1979 al 1989, ha svolto regolarmente Seminari autorizzati dalla cattedra di filosofia del diritto dell'Universit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Roma La Sapienza e tenuti a latere dei corsi del Prof. Sergio Cotta. La stessa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didattica ha svolto continuativamente a Macerata collaborando con il Prof. Bruno Romano e il Prof. Pierfranco Ventura. 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-Dal 1990 al 2000 ha collaborato stabilmente con il Prof. Adriano Ballarini nell'insegnamento di Teoria generale del diritto, svolgendo esami, seminari e curando tesi di laurea.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-Dall'a.a. 2001-02 all'a.a. 2011-12 ha tenuto l'insegnamento di Filosofia del diritto nel corso di Scienze dei Servizi giuridici della Facolt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Giurisprudenza dell'Universit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di Macerata. 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-Dall'a.a. 2012/13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a.a. 2016/17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stato titolare degli insegnamenti di Filosofia del diritto nel corso di laurea in Giurisprudenza e di Teoria generale dello Stato nel corso di laurea in Scienze dell'amministrazione dell'Universit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Macerata.</w:t>
      </w: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-Dal 2004 ha svolto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docenza e di assistenza alla ricerca presso il corso di dottorato in Teorie del diritto e della politica, ora Teoria e storia dei diritti fondamentali, istituito presso l'Universit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di Macerata. </w:t>
      </w:r>
    </w:p>
    <w:p>
      <w:pPr>
        <w:pStyle w:val="Normale"/>
        <w:jc w:val="both"/>
      </w:pPr>
      <w:r>
        <w:rPr>
          <w:sz w:val="24"/>
          <w:szCs w:val="24"/>
          <w:rtl w:val="0"/>
          <w:lang w:val="it-IT"/>
        </w:rPr>
        <w:t>- Dal 2018 tiene il corso di Teoria generale del Diritto nel corso di laurea in Giurisprudenza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Universit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Macerata.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