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53A2A" w:rsidRPr="00E84E8F" w:rsidRDefault="00310090" w:rsidP="00953A2A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Roma </w:t>
      </w:r>
      <w:r w:rsidR="00440ADE">
        <w:rPr>
          <w:rFonts w:ascii="Arial" w:hAnsi="Arial" w:cs="Arial"/>
          <w:b/>
          <w:sz w:val="24"/>
        </w:rPr>
        <w:t>31</w:t>
      </w:r>
      <w:r w:rsidR="00F355F9">
        <w:rPr>
          <w:rFonts w:ascii="Arial" w:hAnsi="Arial" w:cs="Arial"/>
          <w:b/>
          <w:sz w:val="24"/>
        </w:rPr>
        <w:t xml:space="preserve"> gennaio 2020</w:t>
      </w:r>
      <w:r w:rsidR="00953A2A" w:rsidRPr="00E84E8F">
        <w:rPr>
          <w:rFonts w:ascii="Arial" w:hAnsi="Arial" w:cs="Arial"/>
          <w:b/>
          <w:sz w:val="24"/>
        </w:rPr>
        <w:t xml:space="preserve">, </w:t>
      </w:r>
      <w:r w:rsidR="00BB177B">
        <w:rPr>
          <w:rFonts w:ascii="Arial" w:hAnsi="Arial" w:cs="Arial"/>
          <w:b/>
          <w:sz w:val="24"/>
        </w:rPr>
        <w:t xml:space="preserve">di </w:t>
      </w:r>
      <w:r w:rsidR="006621C8">
        <w:rPr>
          <w:rFonts w:ascii="Arial" w:hAnsi="Arial" w:cs="Arial"/>
          <w:b/>
          <w:sz w:val="24"/>
        </w:rPr>
        <w:t xml:space="preserve">Livia Di Cola, </w:t>
      </w:r>
      <w:r w:rsidR="004F0922">
        <w:rPr>
          <w:rFonts w:ascii="Arial" w:hAnsi="Arial" w:cs="Arial"/>
          <w:b/>
          <w:sz w:val="24"/>
        </w:rPr>
        <w:t xml:space="preserve">professore associato </w:t>
      </w:r>
      <w:r w:rsidR="006621C8">
        <w:rPr>
          <w:rFonts w:ascii="Arial" w:hAnsi="Arial" w:cs="Arial"/>
          <w:b/>
          <w:sz w:val="24"/>
        </w:rPr>
        <w:t>in diritto processuale civile nell’Università degli Studi di Macerata</w:t>
      </w:r>
    </w:p>
    <w:p w:rsidR="006621C8" w:rsidRDefault="006621C8" w:rsidP="00953A2A">
      <w:pPr>
        <w:widowControl w:val="0"/>
        <w:tabs>
          <w:tab w:val="left" w:pos="9540"/>
        </w:tabs>
        <w:overflowPunct w:val="0"/>
        <w:autoSpaceDE w:val="0"/>
        <w:autoSpaceDN w:val="0"/>
        <w:adjustRightInd w:val="0"/>
        <w:spacing w:after="0" w:line="360" w:lineRule="auto"/>
        <w:ind w:right="-82"/>
        <w:jc w:val="both"/>
        <w:rPr>
          <w:rFonts w:ascii="Arial" w:hAnsi="Arial" w:cs="Arial"/>
          <w:sz w:val="24"/>
        </w:rPr>
      </w:pPr>
    </w:p>
    <w:p w:rsidR="00F355F9" w:rsidRPr="00F355F9" w:rsidRDefault="00F355F9" w:rsidP="00F355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Cass., Sez. II, 19 dicembre </w:t>
      </w:r>
      <w:r w:rsidRPr="00F355F9">
        <w:rPr>
          <w:rFonts w:ascii="Arial" w:hAnsi="Arial" w:cs="Arial"/>
          <w:sz w:val="24"/>
          <w:szCs w:val="24"/>
        </w:rPr>
        <w:t xml:space="preserve">2019, n. 34026 </w:t>
      </w:r>
    </w:p>
    <w:p w:rsidR="00CD48C3" w:rsidRDefault="00CD48C3" w:rsidP="00CC6F8A">
      <w:pPr>
        <w:rPr>
          <w:rFonts w:ascii="Arial" w:hAnsi="Arial" w:cs="Arial"/>
          <w:b/>
          <w:sz w:val="24"/>
        </w:rPr>
      </w:pPr>
    </w:p>
    <w:p w:rsidR="00D327B7" w:rsidRDefault="0045415B" w:rsidP="00CC6F8A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Giudicato/ Limiti oggettivi del giudicato/ Giudicato sulla qualificazion</w:t>
      </w:r>
      <w:r w:rsidR="007F6D50">
        <w:rPr>
          <w:rFonts w:ascii="Arial" w:hAnsi="Arial" w:cs="Arial"/>
          <w:b/>
          <w:sz w:val="24"/>
        </w:rPr>
        <w:t>e giuridica/ O</w:t>
      </w:r>
      <w:r w:rsidR="00ED29E3">
        <w:rPr>
          <w:rFonts w:ascii="Arial" w:hAnsi="Arial" w:cs="Arial"/>
          <w:b/>
          <w:sz w:val="24"/>
        </w:rPr>
        <w:t>ggetto del giudizio di impugnazione</w:t>
      </w:r>
      <w:r w:rsidR="007F6D50">
        <w:rPr>
          <w:rFonts w:ascii="Arial" w:hAnsi="Arial" w:cs="Arial"/>
          <w:b/>
          <w:sz w:val="24"/>
        </w:rPr>
        <w:t>/ Giudicato interno/ Giudicato implicito.</w:t>
      </w:r>
    </w:p>
    <w:p w:rsidR="00DB4E34" w:rsidRPr="00D327B7" w:rsidRDefault="00DB4E34" w:rsidP="00CC6F8A">
      <w:pPr>
        <w:rPr>
          <w:rFonts w:ascii="Arial" w:hAnsi="Arial" w:cs="Arial"/>
          <w:b/>
          <w:sz w:val="24"/>
        </w:rPr>
      </w:pPr>
    </w:p>
    <w:p w:rsidR="00953A2A" w:rsidRPr="00E84E8F" w:rsidRDefault="00953A2A" w:rsidP="00290289">
      <w:pPr>
        <w:jc w:val="both"/>
        <w:rPr>
          <w:rFonts w:ascii="Arial" w:hAnsi="Arial" w:cs="Arial"/>
          <w:sz w:val="24"/>
        </w:rPr>
      </w:pPr>
      <w:r w:rsidRPr="00E84E8F">
        <w:rPr>
          <w:rFonts w:ascii="Arial" w:hAnsi="Arial" w:cs="Arial"/>
          <w:sz w:val="24"/>
        </w:rPr>
        <w:t>Massima – Il caso – La questione – Le soluzioni giuridiche</w:t>
      </w:r>
      <w:r w:rsidR="00A4370F">
        <w:rPr>
          <w:rFonts w:ascii="Arial" w:hAnsi="Arial" w:cs="Arial"/>
          <w:sz w:val="24"/>
        </w:rPr>
        <w:t xml:space="preserve"> </w:t>
      </w:r>
      <w:r w:rsidR="00D327B7">
        <w:rPr>
          <w:rFonts w:ascii="Arial" w:hAnsi="Arial" w:cs="Arial"/>
          <w:sz w:val="24"/>
        </w:rPr>
        <w:t>–</w:t>
      </w:r>
      <w:r w:rsidR="00A4370F">
        <w:rPr>
          <w:rFonts w:ascii="Arial" w:hAnsi="Arial" w:cs="Arial"/>
          <w:sz w:val="24"/>
        </w:rPr>
        <w:t xml:space="preserve"> Osservazioni</w:t>
      </w:r>
      <w:r w:rsidR="00D327B7">
        <w:rPr>
          <w:rFonts w:ascii="Arial" w:hAnsi="Arial" w:cs="Arial"/>
          <w:sz w:val="24"/>
        </w:rPr>
        <w:t xml:space="preserve"> – Precedenti conformi e difformi</w:t>
      </w:r>
    </w:p>
    <w:p w:rsidR="00D327B7" w:rsidRDefault="00D327B7" w:rsidP="00290289">
      <w:pPr>
        <w:jc w:val="both"/>
        <w:rPr>
          <w:rFonts w:ascii="Arial" w:hAnsi="Arial" w:cs="Arial"/>
          <w:b/>
          <w:sz w:val="24"/>
          <w:szCs w:val="24"/>
        </w:rPr>
      </w:pPr>
    </w:p>
    <w:p w:rsidR="00D11366" w:rsidRPr="00953A2A" w:rsidRDefault="00953A2A" w:rsidP="00290289">
      <w:pPr>
        <w:jc w:val="both"/>
        <w:rPr>
          <w:rFonts w:ascii="Arial" w:hAnsi="Arial" w:cs="Arial"/>
          <w:b/>
          <w:sz w:val="24"/>
          <w:szCs w:val="24"/>
        </w:rPr>
      </w:pPr>
      <w:r w:rsidRPr="00953A2A">
        <w:rPr>
          <w:rFonts w:ascii="Arial" w:hAnsi="Arial" w:cs="Arial"/>
          <w:b/>
          <w:sz w:val="24"/>
          <w:szCs w:val="24"/>
        </w:rPr>
        <w:t xml:space="preserve">Massima </w:t>
      </w:r>
    </w:p>
    <w:p w:rsidR="0071480F" w:rsidRDefault="0071480F" w:rsidP="00290289">
      <w:pPr>
        <w:jc w:val="both"/>
        <w:rPr>
          <w:rFonts w:ascii="Arial" w:hAnsi="Arial" w:cs="Arial"/>
          <w:sz w:val="24"/>
          <w:szCs w:val="24"/>
        </w:rPr>
      </w:pPr>
      <w:r w:rsidRPr="0071480F">
        <w:rPr>
          <w:rFonts w:ascii="Arial" w:hAnsi="Arial" w:cs="Arial"/>
          <w:sz w:val="24"/>
          <w:szCs w:val="24"/>
        </w:rPr>
        <w:t>Il giudicato si forma anche sulla qualificazione giuridica data dal giudice all'azione, quando essa abbia condizionato l'impostazione e la definizione dell'indagine di merito e la parte interessata abbia omesso di proporre specifica impugnazione sul punto.</w:t>
      </w:r>
      <w:r w:rsidR="0087274A">
        <w:rPr>
          <w:rFonts w:ascii="Arial" w:hAnsi="Arial" w:cs="Arial"/>
          <w:sz w:val="24"/>
          <w:szCs w:val="24"/>
        </w:rPr>
        <w:t xml:space="preserve"> </w:t>
      </w:r>
      <w:r w:rsidRPr="0071480F">
        <w:rPr>
          <w:rFonts w:ascii="Arial" w:hAnsi="Arial" w:cs="Arial"/>
          <w:sz w:val="24"/>
          <w:szCs w:val="24"/>
        </w:rPr>
        <w:t xml:space="preserve"> </w:t>
      </w:r>
    </w:p>
    <w:p w:rsidR="00C94F30" w:rsidRPr="0088264F" w:rsidRDefault="0087274A" w:rsidP="00290289">
      <w:pPr>
        <w:jc w:val="both"/>
        <w:rPr>
          <w:rFonts w:ascii="Arial" w:hAnsi="Arial" w:cs="Arial"/>
          <w:sz w:val="24"/>
          <w:szCs w:val="24"/>
        </w:rPr>
      </w:pPr>
      <w:r w:rsidRPr="0088264F">
        <w:rPr>
          <w:rFonts w:ascii="Arial" w:hAnsi="Arial" w:cs="Arial"/>
          <w:sz w:val="24"/>
          <w:szCs w:val="24"/>
        </w:rPr>
        <w:t>Di contro non si può formare giudicato sulla qu</w:t>
      </w:r>
      <w:r w:rsidR="007F6D50">
        <w:rPr>
          <w:rFonts w:ascii="Arial" w:hAnsi="Arial" w:cs="Arial"/>
          <w:sz w:val="24"/>
          <w:szCs w:val="24"/>
        </w:rPr>
        <w:t>alificazione giuridica dell’</w:t>
      </w:r>
      <w:r w:rsidRPr="0088264F">
        <w:rPr>
          <w:rFonts w:ascii="Arial" w:hAnsi="Arial" w:cs="Arial"/>
          <w:sz w:val="24"/>
          <w:szCs w:val="24"/>
        </w:rPr>
        <w:t xml:space="preserve">azione, quando l’appellante abbia </w:t>
      </w:r>
      <w:r w:rsidR="0088264F" w:rsidRPr="0088264F">
        <w:rPr>
          <w:rFonts w:ascii="Arial" w:hAnsi="Arial" w:cs="Arial"/>
          <w:sz w:val="24"/>
          <w:szCs w:val="24"/>
        </w:rPr>
        <w:t xml:space="preserve">formulato difese in merito incompatibili con </w:t>
      </w:r>
      <w:r w:rsidR="007F6D50">
        <w:rPr>
          <w:rFonts w:ascii="Arial" w:hAnsi="Arial" w:cs="Arial"/>
          <w:sz w:val="24"/>
          <w:szCs w:val="24"/>
        </w:rPr>
        <w:t>essa</w:t>
      </w:r>
      <w:r w:rsidR="0088264F" w:rsidRPr="0088264F">
        <w:rPr>
          <w:rFonts w:ascii="Arial" w:hAnsi="Arial" w:cs="Arial"/>
          <w:sz w:val="24"/>
          <w:szCs w:val="24"/>
        </w:rPr>
        <w:t>, pur non avendola impugnata espressamente.</w:t>
      </w:r>
    </w:p>
    <w:p w:rsidR="0071480F" w:rsidRDefault="0071480F" w:rsidP="00290289">
      <w:pPr>
        <w:jc w:val="both"/>
        <w:rPr>
          <w:rFonts w:ascii="Arial" w:hAnsi="Arial" w:cs="Arial"/>
          <w:b/>
          <w:sz w:val="24"/>
          <w:szCs w:val="24"/>
        </w:rPr>
      </w:pPr>
    </w:p>
    <w:p w:rsidR="00953A2A" w:rsidRPr="00953A2A" w:rsidRDefault="00953A2A" w:rsidP="00290289">
      <w:pPr>
        <w:jc w:val="both"/>
        <w:rPr>
          <w:rFonts w:ascii="Arial" w:hAnsi="Arial" w:cs="Arial"/>
          <w:b/>
          <w:sz w:val="24"/>
          <w:szCs w:val="24"/>
        </w:rPr>
      </w:pPr>
      <w:r w:rsidRPr="00953A2A">
        <w:rPr>
          <w:rFonts w:ascii="Arial" w:hAnsi="Arial" w:cs="Arial"/>
          <w:b/>
          <w:sz w:val="24"/>
          <w:szCs w:val="24"/>
        </w:rPr>
        <w:t xml:space="preserve">Il Caso </w:t>
      </w:r>
    </w:p>
    <w:p w:rsidR="00830F70" w:rsidRDefault="00635121" w:rsidP="0029028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seguito della mancata conclusione di un </w:t>
      </w:r>
      <w:r w:rsidR="00C4380A">
        <w:rPr>
          <w:rFonts w:ascii="Arial" w:hAnsi="Arial" w:cs="Arial"/>
          <w:sz w:val="24"/>
          <w:szCs w:val="24"/>
        </w:rPr>
        <w:t>contratto definitivo, l’aspirante</w:t>
      </w:r>
      <w:r>
        <w:rPr>
          <w:rFonts w:ascii="Arial" w:hAnsi="Arial" w:cs="Arial"/>
          <w:sz w:val="24"/>
          <w:szCs w:val="24"/>
        </w:rPr>
        <w:t xml:space="preserve"> acquirente </w:t>
      </w:r>
      <w:r w:rsidR="00EE0856">
        <w:rPr>
          <w:rFonts w:ascii="Arial" w:hAnsi="Arial" w:cs="Arial"/>
          <w:sz w:val="24"/>
          <w:szCs w:val="24"/>
        </w:rPr>
        <w:t>chiede la restit</w:t>
      </w:r>
      <w:r w:rsidR="00C4380A">
        <w:rPr>
          <w:rFonts w:ascii="Arial" w:hAnsi="Arial" w:cs="Arial"/>
          <w:sz w:val="24"/>
          <w:szCs w:val="24"/>
        </w:rPr>
        <w:t xml:space="preserve">uzione della caparra versata sul presupposto che il contratto preliminare fosse risolto </w:t>
      </w:r>
      <w:r w:rsidR="00511D3A">
        <w:rPr>
          <w:rFonts w:ascii="Arial" w:hAnsi="Arial" w:cs="Arial"/>
          <w:sz w:val="24"/>
          <w:szCs w:val="24"/>
        </w:rPr>
        <w:t xml:space="preserve">in virtù della clausola </w:t>
      </w:r>
      <w:r w:rsidR="00E6103B">
        <w:rPr>
          <w:rFonts w:ascii="Arial" w:hAnsi="Arial" w:cs="Arial"/>
          <w:sz w:val="24"/>
          <w:szCs w:val="24"/>
        </w:rPr>
        <w:t>in esso contenuta.</w:t>
      </w:r>
      <w:r w:rsidR="00511D3A">
        <w:rPr>
          <w:rFonts w:ascii="Arial" w:hAnsi="Arial" w:cs="Arial"/>
          <w:sz w:val="24"/>
          <w:szCs w:val="24"/>
        </w:rPr>
        <w:t xml:space="preserve"> Il giudice di primo grado non condividendo l’impostazione del ricorrente, ne respinge la domanda.</w:t>
      </w:r>
    </w:p>
    <w:p w:rsidR="00E6103B" w:rsidRDefault="00E6103B" w:rsidP="0029028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decisione del giudice di primo grado viene impugnata</w:t>
      </w:r>
      <w:r w:rsidR="00511D3A">
        <w:rPr>
          <w:rFonts w:ascii="Arial" w:hAnsi="Arial" w:cs="Arial"/>
          <w:sz w:val="24"/>
          <w:szCs w:val="24"/>
        </w:rPr>
        <w:t xml:space="preserve"> dal soccombente in appello. La Corte d’appello </w:t>
      </w:r>
      <w:r>
        <w:rPr>
          <w:rFonts w:ascii="Arial" w:hAnsi="Arial" w:cs="Arial"/>
          <w:sz w:val="24"/>
          <w:szCs w:val="24"/>
        </w:rPr>
        <w:t>rigetta l’impugnazione sul presup</w:t>
      </w:r>
      <w:r w:rsidR="00511D3A">
        <w:rPr>
          <w:rFonts w:ascii="Arial" w:hAnsi="Arial" w:cs="Arial"/>
          <w:sz w:val="24"/>
          <w:szCs w:val="24"/>
        </w:rPr>
        <w:t xml:space="preserve">posto che sia sceso giudicato sulla </w:t>
      </w:r>
      <w:r w:rsidR="006139A2">
        <w:rPr>
          <w:rFonts w:ascii="Arial" w:hAnsi="Arial" w:cs="Arial"/>
          <w:sz w:val="24"/>
          <w:szCs w:val="24"/>
        </w:rPr>
        <w:t xml:space="preserve">qualificazione giuridica tanto della </w:t>
      </w:r>
      <w:r w:rsidR="00511D3A">
        <w:rPr>
          <w:rFonts w:ascii="Arial" w:hAnsi="Arial" w:cs="Arial"/>
          <w:sz w:val="24"/>
          <w:szCs w:val="24"/>
        </w:rPr>
        <w:t xml:space="preserve">clausola contrattuale, </w:t>
      </w:r>
      <w:r w:rsidR="006139A2">
        <w:rPr>
          <w:rFonts w:ascii="Arial" w:hAnsi="Arial" w:cs="Arial"/>
          <w:sz w:val="24"/>
          <w:szCs w:val="24"/>
        </w:rPr>
        <w:t>quanto del</w:t>
      </w:r>
      <w:r w:rsidR="007B0386">
        <w:rPr>
          <w:rFonts w:ascii="Arial" w:hAnsi="Arial" w:cs="Arial"/>
          <w:sz w:val="24"/>
          <w:szCs w:val="24"/>
        </w:rPr>
        <w:t xml:space="preserve"> </w:t>
      </w:r>
      <w:r w:rsidR="006139A2">
        <w:rPr>
          <w:rFonts w:ascii="Arial" w:hAnsi="Arial" w:cs="Arial"/>
          <w:sz w:val="24"/>
          <w:szCs w:val="24"/>
        </w:rPr>
        <w:t>comportamento della parte inadempiente</w:t>
      </w:r>
      <w:r w:rsidR="007B0386">
        <w:rPr>
          <w:rFonts w:ascii="Arial" w:hAnsi="Arial" w:cs="Arial"/>
          <w:sz w:val="24"/>
          <w:szCs w:val="24"/>
        </w:rPr>
        <w:t xml:space="preserve"> e che, perciò, non possa essere modificata la decisione che da tale qualificazione dipende.</w:t>
      </w:r>
    </w:p>
    <w:p w:rsidR="007B0386" w:rsidRDefault="00E659F3" w:rsidP="0029028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sentenza</w:t>
      </w:r>
      <w:r w:rsidR="007B0386">
        <w:rPr>
          <w:rFonts w:ascii="Arial" w:hAnsi="Arial" w:cs="Arial"/>
          <w:sz w:val="24"/>
          <w:szCs w:val="24"/>
        </w:rPr>
        <w:t xml:space="preserve"> d’appello </w:t>
      </w:r>
      <w:r w:rsidR="00717C0A">
        <w:rPr>
          <w:rFonts w:ascii="Arial" w:hAnsi="Arial" w:cs="Arial"/>
          <w:sz w:val="24"/>
          <w:szCs w:val="24"/>
        </w:rPr>
        <w:t>viene impugnata davanti alla Corte di cassazione. Il primo motivo di ricorso</w:t>
      </w:r>
      <w:r>
        <w:rPr>
          <w:rFonts w:ascii="Arial" w:hAnsi="Arial" w:cs="Arial"/>
          <w:sz w:val="24"/>
          <w:szCs w:val="24"/>
        </w:rPr>
        <w:t xml:space="preserve"> </w:t>
      </w:r>
      <w:r w:rsidR="00717C0A">
        <w:rPr>
          <w:rFonts w:ascii="Arial" w:hAnsi="Arial" w:cs="Arial"/>
          <w:sz w:val="24"/>
          <w:szCs w:val="24"/>
        </w:rPr>
        <w:t>è quello di nostro interesse</w:t>
      </w:r>
      <w:r>
        <w:rPr>
          <w:rFonts w:ascii="Arial" w:hAnsi="Arial" w:cs="Arial"/>
          <w:sz w:val="24"/>
          <w:szCs w:val="24"/>
        </w:rPr>
        <w:t xml:space="preserve"> perché </w:t>
      </w:r>
      <w:r w:rsidR="00717C0A">
        <w:rPr>
          <w:rFonts w:ascii="Arial" w:hAnsi="Arial" w:cs="Arial"/>
          <w:sz w:val="24"/>
          <w:szCs w:val="24"/>
        </w:rPr>
        <w:t xml:space="preserve">viene contestato il passaggio in giudicato </w:t>
      </w:r>
      <w:r w:rsidR="00157D33">
        <w:rPr>
          <w:rFonts w:ascii="Arial" w:hAnsi="Arial" w:cs="Arial"/>
          <w:sz w:val="24"/>
          <w:szCs w:val="24"/>
        </w:rPr>
        <w:t>della quali</w:t>
      </w:r>
      <w:r w:rsidR="007F6D50">
        <w:rPr>
          <w:rFonts w:ascii="Arial" w:hAnsi="Arial" w:cs="Arial"/>
          <w:sz w:val="24"/>
          <w:szCs w:val="24"/>
        </w:rPr>
        <w:t>ficazione giuridica dell’</w:t>
      </w:r>
      <w:r w:rsidR="00157D33">
        <w:rPr>
          <w:rFonts w:ascii="Arial" w:hAnsi="Arial" w:cs="Arial"/>
          <w:sz w:val="24"/>
          <w:szCs w:val="24"/>
        </w:rPr>
        <w:t xml:space="preserve">azione. La Cassazione accoglie questo motivo di ricorso, ritenendo </w:t>
      </w:r>
      <w:r>
        <w:rPr>
          <w:rFonts w:ascii="Arial" w:hAnsi="Arial" w:cs="Arial"/>
          <w:sz w:val="24"/>
          <w:szCs w:val="24"/>
        </w:rPr>
        <w:t>che le contestazioni espresse nell’atto di appello siano logicamente incompatibili con l’impostazione di diritto data dal giudice di</w:t>
      </w:r>
      <w:r w:rsidR="00420F10">
        <w:rPr>
          <w:rFonts w:ascii="Arial" w:hAnsi="Arial" w:cs="Arial"/>
          <w:sz w:val="24"/>
          <w:szCs w:val="24"/>
        </w:rPr>
        <w:t xml:space="preserve"> prime cure alla causa. Considerando assorbiti tutti gli altri motivi di ricorso, la sentenza viene</w:t>
      </w:r>
      <w:r w:rsidR="00157D33">
        <w:rPr>
          <w:rFonts w:ascii="Arial" w:hAnsi="Arial" w:cs="Arial"/>
          <w:sz w:val="24"/>
          <w:szCs w:val="24"/>
        </w:rPr>
        <w:t xml:space="preserve"> cassa</w:t>
      </w:r>
      <w:r w:rsidR="00420F10">
        <w:rPr>
          <w:rFonts w:ascii="Arial" w:hAnsi="Arial" w:cs="Arial"/>
          <w:sz w:val="24"/>
          <w:szCs w:val="24"/>
        </w:rPr>
        <w:t>ta</w:t>
      </w:r>
      <w:r w:rsidR="00157D33">
        <w:rPr>
          <w:rFonts w:ascii="Arial" w:hAnsi="Arial" w:cs="Arial"/>
          <w:sz w:val="24"/>
          <w:szCs w:val="24"/>
        </w:rPr>
        <w:t xml:space="preserve"> c</w:t>
      </w:r>
      <w:r w:rsidR="00420F10">
        <w:rPr>
          <w:rFonts w:ascii="Arial" w:hAnsi="Arial" w:cs="Arial"/>
          <w:sz w:val="24"/>
          <w:szCs w:val="24"/>
        </w:rPr>
        <w:t>on rinvio ad un giudice di pari grado.</w:t>
      </w:r>
    </w:p>
    <w:p w:rsidR="00635121" w:rsidRPr="00635121" w:rsidRDefault="00635121" w:rsidP="00290289">
      <w:pPr>
        <w:jc w:val="both"/>
        <w:rPr>
          <w:rFonts w:ascii="Arial" w:hAnsi="Arial" w:cs="Arial"/>
          <w:sz w:val="24"/>
          <w:szCs w:val="24"/>
        </w:rPr>
      </w:pPr>
    </w:p>
    <w:p w:rsidR="00953A2A" w:rsidRDefault="00953A2A" w:rsidP="00290289">
      <w:pPr>
        <w:jc w:val="both"/>
        <w:rPr>
          <w:rFonts w:ascii="Arial" w:hAnsi="Arial" w:cs="Arial"/>
          <w:b/>
          <w:sz w:val="24"/>
          <w:szCs w:val="24"/>
        </w:rPr>
      </w:pPr>
      <w:r w:rsidRPr="00953A2A">
        <w:rPr>
          <w:rFonts w:ascii="Arial" w:hAnsi="Arial" w:cs="Arial"/>
          <w:b/>
          <w:sz w:val="24"/>
          <w:szCs w:val="24"/>
        </w:rPr>
        <w:t>L</w:t>
      </w:r>
      <w:r w:rsidR="008F514F">
        <w:rPr>
          <w:rFonts w:ascii="Arial" w:hAnsi="Arial" w:cs="Arial"/>
          <w:b/>
          <w:sz w:val="24"/>
          <w:szCs w:val="24"/>
        </w:rPr>
        <w:t>e</w:t>
      </w:r>
      <w:r w:rsidRPr="00953A2A">
        <w:rPr>
          <w:rFonts w:ascii="Arial" w:hAnsi="Arial" w:cs="Arial"/>
          <w:b/>
          <w:sz w:val="24"/>
          <w:szCs w:val="24"/>
        </w:rPr>
        <w:t xml:space="preserve"> question</w:t>
      </w:r>
      <w:r w:rsidR="008F514F">
        <w:rPr>
          <w:rFonts w:ascii="Arial" w:hAnsi="Arial" w:cs="Arial"/>
          <w:b/>
          <w:sz w:val="24"/>
          <w:szCs w:val="24"/>
        </w:rPr>
        <w:t>i</w:t>
      </w:r>
    </w:p>
    <w:p w:rsidR="00717C0A" w:rsidRDefault="00F02BF3" w:rsidP="00290289">
      <w:pPr>
        <w:jc w:val="both"/>
        <w:rPr>
          <w:rFonts w:ascii="Arial" w:hAnsi="Arial" w:cs="Arial"/>
          <w:sz w:val="24"/>
          <w:szCs w:val="24"/>
        </w:rPr>
      </w:pPr>
      <w:r w:rsidRPr="00F02BF3">
        <w:rPr>
          <w:rFonts w:ascii="Arial" w:hAnsi="Arial" w:cs="Arial"/>
          <w:sz w:val="24"/>
          <w:szCs w:val="24"/>
        </w:rPr>
        <w:lastRenderedPageBreak/>
        <w:t xml:space="preserve">Due </w:t>
      </w:r>
      <w:r>
        <w:rPr>
          <w:rFonts w:ascii="Arial" w:hAnsi="Arial" w:cs="Arial"/>
          <w:sz w:val="24"/>
          <w:szCs w:val="24"/>
        </w:rPr>
        <w:t xml:space="preserve">sono le questioni </w:t>
      </w:r>
      <w:r w:rsidR="004F5112">
        <w:rPr>
          <w:rFonts w:ascii="Arial" w:hAnsi="Arial" w:cs="Arial"/>
          <w:sz w:val="24"/>
          <w:szCs w:val="24"/>
        </w:rPr>
        <w:t xml:space="preserve">poste dalla sentenza in commento </w:t>
      </w:r>
      <w:r>
        <w:rPr>
          <w:rFonts w:ascii="Arial" w:hAnsi="Arial" w:cs="Arial"/>
          <w:sz w:val="24"/>
          <w:szCs w:val="24"/>
        </w:rPr>
        <w:t>che appaiono di particolare interesse: la possibilità o meno che il giudicato scenda sulla qualificazione giur</w:t>
      </w:r>
      <w:r w:rsidR="004F5112">
        <w:rPr>
          <w:rFonts w:ascii="Arial" w:hAnsi="Arial" w:cs="Arial"/>
          <w:sz w:val="24"/>
          <w:szCs w:val="24"/>
        </w:rPr>
        <w:t>idica dell</w:t>
      </w:r>
      <w:r>
        <w:rPr>
          <w:rFonts w:ascii="Arial" w:hAnsi="Arial" w:cs="Arial"/>
          <w:sz w:val="24"/>
          <w:szCs w:val="24"/>
        </w:rPr>
        <w:t>’azione; l’</w:t>
      </w:r>
      <w:r w:rsidR="00420F10">
        <w:rPr>
          <w:rFonts w:ascii="Arial" w:hAnsi="Arial" w:cs="Arial"/>
          <w:sz w:val="24"/>
          <w:szCs w:val="24"/>
        </w:rPr>
        <w:t>impossibilità ch</w:t>
      </w:r>
      <w:r w:rsidR="00446643">
        <w:rPr>
          <w:rFonts w:ascii="Arial" w:hAnsi="Arial" w:cs="Arial"/>
          <w:sz w:val="24"/>
          <w:szCs w:val="24"/>
        </w:rPr>
        <w:t xml:space="preserve">e tale qualificazione </w:t>
      </w:r>
      <w:r w:rsidR="00420F10">
        <w:rPr>
          <w:rFonts w:ascii="Arial" w:hAnsi="Arial" w:cs="Arial"/>
          <w:sz w:val="24"/>
          <w:szCs w:val="24"/>
        </w:rPr>
        <w:t xml:space="preserve">passi in giudicato se implicitamente impugnata </w:t>
      </w:r>
      <w:r w:rsidR="004F5112">
        <w:rPr>
          <w:rFonts w:ascii="Arial" w:hAnsi="Arial" w:cs="Arial"/>
          <w:sz w:val="24"/>
          <w:szCs w:val="24"/>
        </w:rPr>
        <w:t xml:space="preserve">attraverso </w:t>
      </w:r>
      <w:r w:rsidR="00446643">
        <w:rPr>
          <w:rFonts w:ascii="Arial" w:hAnsi="Arial" w:cs="Arial"/>
          <w:sz w:val="24"/>
          <w:szCs w:val="24"/>
        </w:rPr>
        <w:t>motivi di gravame logicamente incompatibili con</w:t>
      </w:r>
      <w:r w:rsidR="004F5112">
        <w:rPr>
          <w:rFonts w:ascii="Arial" w:hAnsi="Arial" w:cs="Arial"/>
          <w:sz w:val="24"/>
          <w:szCs w:val="24"/>
        </w:rPr>
        <w:t xml:space="preserve"> essa</w:t>
      </w:r>
      <w:r w:rsidR="00446643">
        <w:rPr>
          <w:rFonts w:ascii="Arial" w:hAnsi="Arial" w:cs="Arial"/>
          <w:sz w:val="24"/>
          <w:szCs w:val="24"/>
        </w:rPr>
        <w:t xml:space="preserve">. </w:t>
      </w:r>
    </w:p>
    <w:p w:rsidR="00332874" w:rsidRDefault="00332874" w:rsidP="00290289">
      <w:pPr>
        <w:jc w:val="both"/>
        <w:rPr>
          <w:rFonts w:ascii="Arial" w:hAnsi="Arial" w:cs="Arial"/>
          <w:b/>
          <w:sz w:val="24"/>
          <w:szCs w:val="24"/>
        </w:rPr>
      </w:pPr>
    </w:p>
    <w:p w:rsidR="006156B2" w:rsidRDefault="006156B2" w:rsidP="00290289">
      <w:pPr>
        <w:jc w:val="both"/>
        <w:rPr>
          <w:rFonts w:ascii="Arial" w:hAnsi="Arial" w:cs="Arial"/>
          <w:b/>
          <w:sz w:val="24"/>
          <w:szCs w:val="24"/>
        </w:rPr>
      </w:pPr>
      <w:r w:rsidRPr="00814E44">
        <w:rPr>
          <w:rFonts w:ascii="Arial" w:hAnsi="Arial" w:cs="Arial"/>
          <w:b/>
          <w:sz w:val="24"/>
          <w:szCs w:val="24"/>
        </w:rPr>
        <w:t>Le soluzioni giuridiche</w:t>
      </w:r>
    </w:p>
    <w:p w:rsidR="00CC6AF6" w:rsidRDefault="00876135" w:rsidP="00CB730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 quasi un trentennio è costante </w:t>
      </w:r>
      <w:r w:rsidRPr="00876135">
        <w:rPr>
          <w:rFonts w:ascii="Arial" w:hAnsi="Arial" w:cs="Arial"/>
          <w:sz w:val="24"/>
          <w:szCs w:val="24"/>
        </w:rPr>
        <w:t xml:space="preserve">la giurisprudenza </w:t>
      </w:r>
      <w:r>
        <w:rPr>
          <w:rFonts w:ascii="Arial" w:hAnsi="Arial" w:cs="Arial"/>
          <w:sz w:val="24"/>
          <w:szCs w:val="24"/>
        </w:rPr>
        <w:t>di Cassazione (si veda:</w:t>
      </w:r>
      <w:r w:rsidR="0058763E">
        <w:rPr>
          <w:rFonts w:ascii="Arial" w:hAnsi="Arial" w:cs="Arial"/>
          <w:sz w:val="24"/>
          <w:szCs w:val="24"/>
        </w:rPr>
        <w:t xml:space="preserve"> Cass.</w:t>
      </w:r>
      <w:r>
        <w:rPr>
          <w:rFonts w:ascii="Arial" w:hAnsi="Arial" w:cs="Arial"/>
          <w:sz w:val="24"/>
          <w:szCs w:val="24"/>
        </w:rPr>
        <w:t xml:space="preserve"> 18 ottobre </w:t>
      </w:r>
      <w:r w:rsidRPr="00876135">
        <w:rPr>
          <w:rFonts w:ascii="Arial" w:hAnsi="Arial" w:cs="Arial"/>
          <w:sz w:val="24"/>
          <w:szCs w:val="24"/>
        </w:rPr>
        <w:t>1991, n.</w:t>
      </w:r>
      <w:r w:rsidR="00CB7308">
        <w:rPr>
          <w:rFonts w:ascii="Arial" w:hAnsi="Arial" w:cs="Arial"/>
          <w:sz w:val="24"/>
          <w:szCs w:val="24"/>
        </w:rPr>
        <w:t xml:space="preserve"> </w:t>
      </w:r>
      <w:r w:rsidRPr="00876135">
        <w:rPr>
          <w:rFonts w:ascii="Arial" w:hAnsi="Arial" w:cs="Arial"/>
          <w:sz w:val="24"/>
          <w:szCs w:val="24"/>
        </w:rPr>
        <w:t>11022</w:t>
      </w:r>
      <w:r>
        <w:rPr>
          <w:rFonts w:ascii="Arial" w:hAnsi="Arial" w:cs="Arial"/>
          <w:sz w:val="24"/>
          <w:szCs w:val="24"/>
        </w:rPr>
        <w:t xml:space="preserve">; Id. 17 dicembre </w:t>
      </w:r>
      <w:r w:rsidRPr="00876135">
        <w:rPr>
          <w:rFonts w:ascii="Arial" w:hAnsi="Arial" w:cs="Arial"/>
          <w:sz w:val="24"/>
          <w:szCs w:val="24"/>
        </w:rPr>
        <w:t>1993, n.</w:t>
      </w:r>
      <w:r w:rsidR="00CB7308">
        <w:rPr>
          <w:rFonts w:ascii="Arial" w:hAnsi="Arial" w:cs="Arial"/>
          <w:sz w:val="24"/>
          <w:szCs w:val="24"/>
        </w:rPr>
        <w:t xml:space="preserve"> </w:t>
      </w:r>
      <w:r w:rsidRPr="00876135">
        <w:rPr>
          <w:rFonts w:ascii="Arial" w:hAnsi="Arial" w:cs="Arial"/>
          <w:sz w:val="24"/>
          <w:szCs w:val="24"/>
        </w:rPr>
        <w:t>12499</w:t>
      </w:r>
      <w:r>
        <w:rPr>
          <w:rFonts w:ascii="Arial" w:hAnsi="Arial" w:cs="Arial"/>
          <w:sz w:val="24"/>
          <w:szCs w:val="24"/>
        </w:rPr>
        <w:t xml:space="preserve">; </w:t>
      </w:r>
      <w:r w:rsidR="0058763E">
        <w:rPr>
          <w:rFonts w:ascii="Arial" w:hAnsi="Arial" w:cs="Arial"/>
          <w:sz w:val="24"/>
          <w:szCs w:val="24"/>
        </w:rPr>
        <w:t xml:space="preserve">id. 7 agosto </w:t>
      </w:r>
      <w:r w:rsidRPr="00876135">
        <w:rPr>
          <w:rFonts w:ascii="Arial" w:hAnsi="Arial" w:cs="Arial"/>
          <w:sz w:val="24"/>
          <w:szCs w:val="24"/>
        </w:rPr>
        <w:t>1996, n. 7260</w:t>
      </w:r>
      <w:r>
        <w:rPr>
          <w:rFonts w:ascii="Arial" w:hAnsi="Arial" w:cs="Arial"/>
          <w:sz w:val="24"/>
          <w:szCs w:val="24"/>
        </w:rPr>
        <w:t>;</w:t>
      </w:r>
      <w:r w:rsidR="0058763E">
        <w:rPr>
          <w:rFonts w:ascii="Arial" w:hAnsi="Arial" w:cs="Arial"/>
          <w:sz w:val="24"/>
          <w:szCs w:val="24"/>
        </w:rPr>
        <w:t xml:space="preserve"> Id.</w:t>
      </w:r>
      <w:r>
        <w:rPr>
          <w:rFonts w:ascii="Arial" w:hAnsi="Arial" w:cs="Arial"/>
          <w:sz w:val="24"/>
          <w:szCs w:val="24"/>
        </w:rPr>
        <w:t xml:space="preserve"> </w:t>
      </w:r>
      <w:r w:rsidR="0058763E">
        <w:rPr>
          <w:rFonts w:ascii="Arial" w:hAnsi="Arial" w:cs="Arial"/>
          <w:sz w:val="24"/>
          <w:szCs w:val="24"/>
        </w:rPr>
        <w:t xml:space="preserve">7 novembre </w:t>
      </w:r>
      <w:r w:rsidRPr="00876135">
        <w:rPr>
          <w:rFonts w:ascii="Arial" w:hAnsi="Arial" w:cs="Arial"/>
          <w:sz w:val="24"/>
          <w:szCs w:val="24"/>
        </w:rPr>
        <w:t>2005, n.</w:t>
      </w:r>
      <w:r w:rsidR="00CB7308">
        <w:rPr>
          <w:rFonts w:ascii="Arial" w:hAnsi="Arial" w:cs="Arial"/>
          <w:sz w:val="24"/>
          <w:szCs w:val="24"/>
        </w:rPr>
        <w:t xml:space="preserve"> </w:t>
      </w:r>
      <w:r w:rsidRPr="00876135">
        <w:rPr>
          <w:rFonts w:ascii="Arial" w:hAnsi="Arial" w:cs="Arial"/>
          <w:sz w:val="24"/>
          <w:szCs w:val="24"/>
        </w:rPr>
        <w:t>21490</w:t>
      </w:r>
      <w:r>
        <w:rPr>
          <w:rFonts w:ascii="Arial" w:hAnsi="Arial" w:cs="Arial"/>
          <w:sz w:val="24"/>
          <w:szCs w:val="24"/>
        </w:rPr>
        <w:t xml:space="preserve">; </w:t>
      </w:r>
      <w:r w:rsidR="0058763E">
        <w:rPr>
          <w:rFonts w:ascii="Arial" w:hAnsi="Arial" w:cs="Arial"/>
          <w:sz w:val="24"/>
          <w:szCs w:val="24"/>
        </w:rPr>
        <w:t xml:space="preserve">Id. 1 agosto </w:t>
      </w:r>
      <w:r w:rsidR="0058763E" w:rsidRPr="0058763E">
        <w:rPr>
          <w:rFonts w:ascii="Arial" w:hAnsi="Arial" w:cs="Arial"/>
          <w:sz w:val="24"/>
          <w:szCs w:val="24"/>
        </w:rPr>
        <w:t>2013, n.</w:t>
      </w:r>
      <w:r w:rsidR="00CB7308">
        <w:rPr>
          <w:rFonts w:ascii="Arial" w:hAnsi="Arial" w:cs="Arial"/>
          <w:sz w:val="24"/>
          <w:szCs w:val="24"/>
        </w:rPr>
        <w:t xml:space="preserve"> </w:t>
      </w:r>
      <w:r w:rsidR="0058763E" w:rsidRPr="0058763E">
        <w:rPr>
          <w:rFonts w:ascii="Arial" w:hAnsi="Arial" w:cs="Arial"/>
          <w:sz w:val="24"/>
          <w:szCs w:val="24"/>
        </w:rPr>
        <w:t>18427</w:t>
      </w:r>
      <w:r w:rsidR="0058763E">
        <w:rPr>
          <w:rFonts w:ascii="Arial" w:hAnsi="Arial" w:cs="Arial"/>
          <w:sz w:val="24"/>
          <w:szCs w:val="24"/>
        </w:rPr>
        <w:t xml:space="preserve">; Id. </w:t>
      </w:r>
      <w:r w:rsidRPr="00876135">
        <w:rPr>
          <w:rFonts w:ascii="Arial" w:hAnsi="Arial" w:cs="Arial"/>
          <w:sz w:val="24"/>
          <w:szCs w:val="24"/>
        </w:rPr>
        <w:t>19 marzo 2018, n. 6716</w:t>
      </w:r>
      <w:r w:rsidR="00827CFE">
        <w:rPr>
          <w:rFonts w:ascii="Arial" w:hAnsi="Arial" w:cs="Arial"/>
          <w:sz w:val="24"/>
          <w:szCs w:val="24"/>
        </w:rPr>
        <w:t>)</w:t>
      </w:r>
      <w:r w:rsidR="00EF3BB7">
        <w:rPr>
          <w:rFonts w:ascii="Arial" w:hAnsi="Arial" w:cs="Arial"/>
          <w:sz w:val="24"/>
          <w:szCs w:val="24"/>
        </w:rPr>
        <w:t xml:space="preserve"> </w:t>
      </w:r>
      <w:r w:rsidR="00827CFE">
        <w:rPr>
          <w:rFonts w:ascii="Arial" w:hAnsi="Arial" w:cs="Arial"/>
          <w:sz w:val="24"/>
          <w:szCs w:val="24"/>
        </w:rPr>
        <w:t xml:space="preserve">nel ritenere </w:t>
      </w:r>
      <w:r w:rsidR="00EF3BB7">
        <w:rPr>
          <w:rFonts w:ascii="Arial" w:hAnsi="Arial" w:cs="Arial"/>
          <w:sz w:val="24"/>
          <w:szCs w:val="24"/>
        </w:rPr>
        <w:t>che il giudicato si estenda anche alla qualificazione giuridica data dal giudice all’azione, nel momento in cui essa abbia condizionato l’impostazione dell</w:t>
      </w:r>
      <w:r w:rsidR="00CB7308">
        <w:rPr>
          <w:rFonts w:ascii="Arial" w:hAnsi="Arial" w:cs="Arial"/>
          <w:sz w:val="24"/>
          <w:szCs w:val="24"/>
        </w:rPr>
        <w:t>a sua indagine e</w:t>
      </w:r>
      <w:r w:rsidR="00827CFE">
        <w:rPr>
          <w:rFonts w:ascii="Arial" w:hAnsi="Arial" w:cs="Arial"/>
          <w:sz w:val="24"/>
          <w:szCs w:val="24"/>
        </w:rPr>
        <w:t xml:space="preserve"> la conseguente</w:t>
      </w:r>
      <w:r w:rsidR="00CB7308">
        <w:rPr>
          <w:rFonts w:ascii="Arial" w:hAnsi="Arial" w:cs="Arial"/>
          <w:sz w:val="24"/>
          <w:szCs w:val="24"/>
        </w:rPr>
        <w:t xml:space="preserve"> </w:t>
      </w:r>
      <w:r w:rsidR="004F5112">
        <w:rPr>
          <w:rFonts w:ascii="Arial" w:hAnsi="Arial" w:cs="Arial"/>
          <w:sz w:val="24"/>
          <w:szCs w:val="24"/>
        </w:rPr>
        <w:t>decisione di merito. Di contro</w:t>
      </w:r>
      <w:r w:rsidR="00827CFE">
        <w:rPr>
          <w:rFonts w:ascii="Arial" w:hAnsi="Arial" w:cs="Arial"/>
          <w:sz w:val="24"/>
          <w:szCs w:val="24"/>
        </w:rPr>
        <w:t>, non posso essere ideone al giudicato</w:t>
      </w:r>
      <w:r w:rsidR="00CC6AF6">
        <w:rPr>
          <w:rFonts w:ascii="Arial" w:hAnsi="Arial" w:cs="Arial"/>
          <w:sz w:val="24"/>
          <w:szCs w:val="24"/>
        </w:rPr>
        <w:t xml:space="preserve"> mere enunciazioni di diritto fini a </w:t>
      </w:r>
      <w:proofErr w:type="gramStart"/>
      <w:r w:rsidR="00CC6AF6">
        <w:rPr>
          <w:rFonts w:ascii="Arial" w:hAnsi="Arial" w:cs="Arial"/>
          <w:sz w:val="24"/>
          <w:szCs w:val="24"/>
        </w:rPr>
        <w:t>se</w:t>
      </w:r>
      <w:proofErr w:type="gramEnd"/>
      <w:r w:rsidR="00CC6AF6">
        <w:rPr>
          <w:rFonts w:ascii="Arial" w:hAnsi="Arial" w:cs="Arial"/>
          <w:sz w:val="24"/>
          <w:szCs w:val="24"/>
        </w:rPr>
        <w:t xml:space="preserve"> stesse.</w:t>
      </w:r>
    </w:p>
    <w:p w:rsidR="00CB7308" w:rsidRDefault="00CB7308" w:rsidP="00CB730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Sul</w:t>
      </w:r>
      <w:r w:rsidR="00CC6AF6">
        <w:rPr>
          <w:rFonts w:ascii="Arial" w:hAnsi="Arial" w:cs="Arial"/>
          <w:sz w:val="24"/>
          <w:szCs w:val="24"/>
        </w:rPr>
        <w:t>la questione</w:t>
      </w:r>
      <w:r>
        <w:rPr>
          <w:rFonts w:ascii="Arial" w:hAnsi="Arial" w:cs="Arial"/>
          <w:sz w:val="24"/>
          <w:szCs w:val="24"/>
        </w:rPr>
        <w:t xml:space="preserve"> la Suprema Corte ha specificato: ‹‹… </w:t>
      </w:r>
      <w:r w:rsidRPr="00CB7308">
        <w:rPr>
          <w:rFonts w:ascii="Arial" w:hAnsi="Arial" w:cs="Arial"/>
          <w:sz w:val="24"/>
          <w:szCs w:val="24"/>
        </w:rPr>
        <w:t>non si tratta di introdurre, nell'interpretazione del contenuto decisorio del giudicato, un elemento esterno alla sentenza, quale è la domanda contenuta nell'atto di citazione, ma un elemento interno alla stessa sentenza, quale è la domanda come percepita e riportata dal giudice nella sentenza</w:t>
      </w:r>
      <w:r>
        <w:rPr>
          <w:rFonts w:ascii="Arial" w:hAnsi="Arial" w:cs="Arial"/>
          <w:sz w:val="24"/>
          <w:szCs w:val="24"/>
        </w:rPr>
        <w:t xml:space="preserve">›› (Cass. 7 novembre </w:t>
      </w:r>
      <w:r w:rsidRPr="00876135">
        <w:rPr>
          <w:rFonts w:ascii="Arial" w:hAnsi="Arial" w:cs="Arial"/>
          <w:sz w:val="24"/>
          <w:szCs w:val="24"/>
        </w:rPr>
        <w:t>2005, n.</w:t>
      </w:r>
      <w:r>
        <w:rPr>
          <w:rFonts w:ascii="Arial" w:hAnsi="Arial" w:cs="Arial"/>
          <w:sz w:val="24"/>
          <w:szCs w:val="24"/>
        </w:rPr>
        <w:t xml:space="preserve"> </w:t>
      </w:r>
      <w:r w:rsidRPr="00876135">
        <w:rPr>
          <w:rFonts w:ascii="Arial" w:hAnsi="Arial" w:cs="Arial"/>
          <w:sz w:val="24"/>
          <w:szCs w:val="24"/>
        </w:rPr>
        <w:t>21490</w:t>
      </w:r>
      <w:r>
        <w:rPr>
          <w:rFonts w:ascii="Arial" w:hAnsi="Arial" w:cs="Arial"/>
          <w:sz w:val="24"/>
          <w:szCs w:val="24"/>
        </w:rPr>
        <w:t>)</w:t>
      </w:r>
      <w:r w:rsidRPr="00CB7308">
        <w:rPr>
          <w:rFonts w:ascii="Arial" w:hAnsi="Arial" w:cs="Arial"/>
          <w:sz w:val="24"/>
          <w:szCs w:val="24"/>
        </w:rPr>
        <w:t>.</w:t>
      </w:r>
      <w:r w:rsidR="00CC6AF6">
        <w:rPr>
          <w:rFonts w:ascii="Arial" w:hAnsi="Arial" w:cs="Arial"/>
          <w:sz w:val="24"/>
          <w:szCs w:val="24"/>
        </w:rPr>
        <w:t xml:space="preserve"> </w:t>
      </w:r>
    </w:p>
    <w:p w:rsidR="00507A03" w:rsidRDefault="00507A03" w:rsidP="00CB730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Cassazione ha precisato anche che </w:t>
      </w:r>
      <w:r w:rsidR="00041704">
        <w:rPr>
          <w:rFonts w:ascii="Arial" w:hAnsi="Arial" w:cs="Arial"/>
          <w:sz w:val="24"/>
          <w:szCs w:val="24"/>
        </w:rPr>
        <w:t xml:space="preserve">tale </w:t>
      </w:r>
      <w:r>
        <w:rPr>
          <w:rFonts w:ascii="Arial" w:hAnsi="Arial" w:cs="Arial"/>
          <w:sz w:val="24"/>
          <w:szCs w:val="24"/>
        </w:rPr>
        <w:t>qualificazione giuridica non deve risultare necessari</w:t>
      </w:r>
      <w:r w:rsidR="0004170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mente</w:t>
      </w:r>
      <w:r w:rsidR="00041704">
        <w:rPr>
          <w:rFonts w:ascii="Arial" w:hAnsi="Arial" w:cs="Arial"/>
          <w:sz w:val="24"/>
          <w:szCs w:val="24"/>
        </w:rPr>
        <w:t xml:space="preserve"> dal dispositivo della sentenza, ma può risultare anche dalla complessiva lettura della motivazione</w:t>
      </w:r>
      <w:r w:rsidR="004F5112">
        <w:rPr>
          <w:rFonts w:ascii="Arial" w:hAnsi="Arial" w:cs="Arial"/>
          <w:sz w:val="24"/>
          <w:szCs w:val="24"/>
        </w:rPr>
        <w:t xml:space="preserve"> (si veda sul punto le sentenze sopra citate)</w:t>
      </w:r>
      <w:r w:rsidR="00041704">
        <w:rPr>
          <w:rFonts w:ascii="Arial" w:hAnsi="Arial" w:cs="Arial"/>
          <w:sz w:val="24"/>
          <w:szCs w:val="24"/>
        </w:rPr>
        <w:t>.</w:t>
      </w:r>
    </w:p>
    <w:p w:rsidR="00277138" w:rsidRDefault="00277138" w:rsidP="0004170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Essendo la qualificazione giuridica dell’azione un capo di sentenza autonomo è necessario che esso venga impugnato </w:t>
      </w:r>
      <w:r w:rsidR="00CC368B">
        <w:rPr>
          <w:rFonts w:ascii="Arial" w:hAnsi="Arial" w:cs="Arial"/>
          <w:sz w:val="24"/>
          <w:szCs w:val="24"/>
        </w:rPr>
        <w:t>per evitarne</w:t>
      </w:r>
      <w:r>
        <w:rPr>
          <w:rFonts w:ascii="Arial" w:hAnsi="Arial" w:cs="Arial"/>
          <w:sz w:val="24"/>
          <w:szCs w:val="24"/>
        </w:rPr>
        <w:t xml:space="preserve"> il passaggio in giudicato.</w:t>
      </w:r>
    </w:p>
    <w:p w:rsidR="00277138" w:rsidRDefault="00277138" w:rsidP="0004170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Perciò, </w:t>
      </w:r>
      <w:r w:rsidR="00827CFE">
        <w:rPr>
          <w:rFonts w:ascii="Arial" w:hAnsi="Arial" w:cs="Arial"/>
          <w:sz w:val="24"/>
          <w:szCs w:val="24"/>
        </w:rPr>
        <w:t>i</w:t>
      </w:r>
      <w:r w:rsidR="00EF1D04">
        <w:rPr>
          <w:rFonts w:ascii="Arial" w:hAnsi="Arial" w:cs="Arial"/>
          <w:sz w:val="24"/>
          <w:szCs w:val="24"/>
        </w:rPr>
        <w:t>l giudice d’appello non p</w:t>
      </w:r>
      <w:r>
        <w:rPr>
          <w:rFonts w:ascii="Arial" w:hAnsi="Arial" w:cs="Arial"/>
          <w:sz w:val="24"/>
          <w:szCs w:val="24"/>
        </w:rPr>
        <w:t>uò</w:t>
      </w:r>
      <w:r w:rsidR="00827CFE">
        <w:rPr>
          <w:rFonts w:ascii="Arial" w:hAnsi="Arial" w:cs="Arial"/>
          <w:sz w:val="24"/>
          <w:szCs w:val="24"/>
        </w:rPr>
        <w:t xml:space="preserve"> modificare</w:t>
      </w:r>
      <w:r w:rsidR="00EF1D04">
        <w:rPr>
          <w:rFonts w:ascii="Arial" w:hAnsi="Arial" w:cs="Arial"/>
          <w:sz w:val="24"/>
          <w:szCs w:val="24"/>
        </w:rPr>
        <w:t xml:space="preserve"> la qualificazione giuridica stabilita dal giudice di primo grado</w:t>
      </w:r>
      <w:r w:rsidR="004F5112">
        <w:rPr>
          <w:rFonts w:ascii="Arial" w:hAnsi="Arial" w:cs="Arial"/>
          <w:sz w:val="24"/>
          <w:szCs w:val="24"/>
        </w:rPr>
        <w:t>, se</w:t>
      </w:r>
      <w:r>
        <w:rPr>
          <w:rFonts w:ascii="Arial" w:hAnsi="Arial" w:cs="Arial"/>
          <w:sz w:val="24"/>
          <w:szCs w:val="24"/>
        </w:rPr>
        <w:t xml:space="preserve"> le parti non la contestano</w:t>
      </w:r>
      <w:r w:rsidR="004F5112">
        <w:rPr>
          <w:rFonts w:ascii="Arial" w:hAnsi="Arial" w:cs="Arial"/>
          <w:sz w:val="24"/>
          <w:szCs w:val="24"/>
        </w:rPr>
        <w:t xml:space="preserve"> nei loro atti introduttivi</w:t>
      </w:r>
      <w:r>
        <w:rPr>
          <w:rFonts w:ascii="Arial" w:hAnsi="Arial" w:cs="Arial"/>
          <w:sz w:val="24"/>
          <w:szCs w:val="24"/>
        </w:rPr>
        <w:t xml:space="preserve">. </w:t>
      </w:r>
      <w:r w:rsidR="00EF1D04">
        <w:rPr>
          <w:rFonts w:ascii="Arial" w:hAnsi="Arial" w:cs="Arial"/>
          <w:sz w:val="24"/>
          <w:szCs w:val="24"/>
        </w:rPr>
        <w:t xml:space="preserve"> </w:t>
      </w:r>
      <w:r w:rsidR="00827CFE">
        <w:rPr>
          <w:rFonts w:ascii="Arial" w:hAnsi="Arial" w:cs="Arial"/>
          <w:sz w:val="24"/>
          <w:szCs w:val="24"/>
        </w:rPr>
        <w:t xml:space="preserve">Infatti, l’effetto </w:t>
      </w:r>
      <w:r w:rsidR="00E5524E">
        <w:rPr>
          <w:rFonts w:ascii="Arial" w:hAnsi="Arial" w:cs="Arial"/>
          <w:sz w:val="24"/>
          <w:szCs w:val="24"/>
        </w:rPr>
        <w:t xml:space="preserve">devolutivo dell’appello (ben espresso dal brocardo </w:t>
      </w:r>
      <w:r w:rsidR="00E5524E" w:rsidRPr="00E5524E">
        <w:rPr>
          <w:rFonts w:ascii="Arial" w:hAnsi="Arial" w:cs="Arial"/>
          <w:i/>
          <w:sz w:val="24"/>
          <w:szCs w:val="24"/>
        </w:rPr>
        <w:t xml:space="preserve">tantum </w:t>
      </w:r>
      <w:proofErr w:type="spellStart"/>
      <w:r w:rsidR="00E5524E" w:rsidRPr="00E5524E">
        <w:rPr>
          <w:rFonts w:ascii="Arial" w:hAnsi="Arial" w:cs="Arial"/>
          <w:bCs/>
          <w:i/>
          <w:iCs/>
          <w:sz w:val="24"/>
          <w:szCs w:val="24"/>
        </w:rPr>
        <w:t>devolutum</w:t>
      </w:r>
      <w:proofErr w:type="spellEnd"/>
      <w:r w:rsidR="00E5524E" w:rsidRPr="00E5524E">
        <w:rPr>
          <w:rFonts w:ascii="Arial" w:hAnsi="Arial" w:cs="Arial"/>
          <w:i/>
          <w:sz w:val="24"/>
          <w:szCs w:val="24"/>
        </w:rPr>
        <w:t xml:space="preserve"> quantum </w:t>
      </w:r>
      <w:proofErr w:type="spellStart"/>
      <w:r w:rsidR="00E5524E" w:rsidRPr="00E5524E">
        <w:rPr>
          <w:rFonts w:ascii="Arial" w:hAnsi="Arial" w:cs="Arial"/>
          <w:i/>
          <w:sz w:val="24"/>
          <w:szCs w:val="24"/>
        </w:rPr>
        <w:t>appellatum</w:t>
      </w:r>
      <w:proofErr w:type="spellEnd"/>
      <w:r w:rsidR="00E5524E">
        <w:rPr>
          <w:rFonts w:ascii="Arial" w:hAnsi="Arial" w:cs="Arial"/>
          <w:sz w:val="24"/>
          <w:szCs w:val="24"/>
        </w:rPr>
        <w:t xml:space="preserve">) esclude che possa essere considerato ancora </w:t>
      </w:r>
      <w:r w:rsidR="00E5524E">
        <w:rPr>
          <w:rFonts w:ascii="Arial" w:hAnsi="Arial" w:cs="Arial"/>
          <w:i/>
          <w:sz w:val="24"/>
          <w:szCs w:val="24"/>
        </w:rPr>
        <w:t xml:space="preserve">sub </w:t>
      </w:r>
      <w:proofErr w:type="spellStart"/>
      <w:r w:rsidR="00E5524E">
        <w:rPr>
          <w:rFonts w:ascii="Arial" w:hAnsi="Arial" w:cs="Arial"/>
          <w:i/>
          <w:sz w:val="24"/>
          <w:szCs w:val="24"/>
        </w:rPr>
        <w:t>iudice</w:t>
      </w:r>
      <w:proofErr w:type="spellEnd"/>
      <w:r w:rsidR="00E5524E">
        <w:rPr>
          <w:rFonts w:ascii="Arial" w:hAnsi="Arial" w:cs="Arial"/>
          <w:i/>
          <w:sz w:val="24"/>
          <w:szCs w:val="24"/>
        </w:rPr>
        <w:t xml:space="preserve"> </w:t>
      </w:r>
      <w:r w:rsidR="00E5524E">
        <w:rPr>
          <w:rFonts w:ascii="Arial" w:hAnsi="Arial" w:cs="Arial"/>
          <w:sz w:val="24"/>
          <w:szCs w:val="24"/>
        </w:rPr>
        <w:t xml:space="preserve">l’oggetto del giudizio di primo grado che non sia stato espressamente </w:t>
      </w:r>
      <w:r w:rsidR="00FB4059">
        <w:rPr>
          <w:rFonts w:ascii="Arial" w:hAnsi="Arial" w:cs="Arial"/>
          <w:sz w:val="24"/>
          <w:szCs w:val="24"/>
        </w:rPr>
        <w:t xml:space="preserve">o implicitamente </w:t>
      </w:r>
      <w:r w:rsidR="00E5524E">
        <w:rPr>
          <w:rFonts w:ascii="Arial" w:hAnsi="Arial" w:cs="Arial"/>
          <w:sz w:val="24"/>
          <w:szCs w:val="24"/>
        </w:rPr>
        <w:t>impugnato dall’appell</w:t>
      </w:r>
      <w:r w:rsidR="00041704">
        <w:rPr>
          <w:rFonts w:ascii="Arial" w:hAnsi="Arial" w:cs="Arial"/>
          <w:sz w:val="24"/>
          <w:szCs w:val="24"/>
        </w:rPr>
        <w:t xml:space="preserve">ante principale o incidentale. </w:t>
      </w:r>
    </w:p>
    <w:p w:rsidR="00CC368B" w:rsidRDefault="00CC368B" w:rsidP="0004170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FB4059">
        <w:rPr>
          <w:rFonts w:ascii="Arial" w:hAnsi="Arial" w:cs="Arial"/>
          <w:sz w:val="24"/>
          <w:szCs w:val="24"/>
        </w:rPr>
        <w:t xml:space="preserve">el caso </w:t>
      </w:r>
      <w:r w:rsidR="00041704">
        <w:rPr>
          <w:rFonts w:ascii="Arial" w:hAnsi="Arial" w:cs="Arial"/>
          <w:sz w:val="24"/>
          <w:szCs w:val="24"/>
        </w:rPr>
        <w:t>in cui l’</w:t>
      </w:r>
      <w:r w:rsidR="00FB4059">
        <w:rPr>
          <w:rFonts w:ascii="Arial" w:hAnsi="Arial" w:cs="Arial"/>
          <w:sz w:val="24"/>
          <w:szCs w:val="24"/>
        </w:rPr>
        <w:t>appellante abbia formulato motivi di appello che logicamente</w:t>
      </w:r>
      <w:r w:rsidR="004D3C34">
        <w:rPr>
          <w:rFonts w:ascii="Arial" w:hAnsi="Arial" w:cs="Arial"/>
          <w:sz w:val="24"/>
          <w:szCs w:val="24"/>
        </w:rPr>
        <w:t xml:space="preserve"> si pongono in contrasto </w:t>
      </w:r>
      <w:r w:rsidR="00FB4059">
        <w:rPr>
          <w:rFonts w:ascii="Arial" w:hAnsi="Arial" w:cs="Arial"/>
          <w:sz w:val="24"/>
          <w:szCs w:val="24"/>
        </w:rPr>
        <w:t>la qualificazione giuridica data all’azione</w:t>
      </w:r>
      <w:r w:rsidR="004D3C34">
        <w:rPr>
          <w:rFonts w:ascii="Arial" w:hAnsi="Arial" w:cs="Arial"/>
          <w:sz w:val="24"/>
          <w:szCs w:val="24"/>
        </w:rPr>
        <w:t xml:space="preserve"> in primo grado</w:t>
      </w:r>
      <w:r w:rsidR="00FB405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pur non essendo stato espressamente impugnato il relativo capo, anche quest’ultimo deve essere considerato parte del giudizio di impugnazione.</w:t>
      </w:r>
    </w:p>
    <w:p w:rsidR="00FB4059" w:rsidRDefault="00FB4059" w:rsidP="0004170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 giudicato sulla q</w:t>
      </w:r>
      <w:r w:rsidR="004D3C34">
        <w:rPr>
          <w:rFonts w:ascii="Arial" w:hAnsi="Arial" w:cs="Arial"/>
          <w:sz w:val="24"/>
          <w:szCs w:val="24"/>
        </w:rPr>
        <w:t>ualificazione giuridica dell</w:t>
      </w:r>
      <w:r>
        <w:rPr>
          <w:rFonts w:ascii="Arial" w:hAnsi="Arial" w:cs="Arial"/>
          <w:sz w:val="24"/>
          <w:szCs w:val="24"/>
        </w:rPr>
        <w:t>’azione è un giudicato interno rilevabile anche d’ufficio dal giudice dell’impugnazione</w:t>
      </w:r>
      <w:r w:rsidR="004C6D81">
        <w:rPr>
          <w:rFonts w:ascii="Arial" w:hAnsi="Arial" w:cs="Arial"/>
          <w:sz w:val="24"/>
          <w:szCs w:val="24"/>
        </w:rPr>
        <w:t xml:space="preserve"> (si veda la Bussola – Il giudicato civile)</w:t>
      </w:r>
      <w:r>
        <w:rPr>
          <w:rFonts w:ascii="Arial" w:hAnsi="Arial" w:cs="Arial"/>
          <w:sz w:val="24"/>
          <w:szCs w:val="24"/>
        </w:rPr>
        <w:t>.</w:t>
      </w:r>
    </w:p>
    <w:p w:rsidR="00CC368B" w:rsidRDefault="00CC368B" w:rsidP="00CC368B">
      <w:pPr>
        <w:jc w:val="both"/>
        <w:rPr>
          <w:rFonts w:ascii="Arial" w:hAnsi="Arial" w:cs="Arial"/>
          <w:sz w:val="24"/>
          <w:szCs w:val="24"/>
        </w:rPr>
      </w:pPr>
    </w:p>
    <w:p w:rsidR="0068642C" w:rsidRDefault="0068642C" w:rsidP="00CC368B">
      <w:pPr>
        <w:jc w:val="both"/>
        <w:rPr>
          <w:rFonts w:ascii="Arial" w:eastAsia="MS Minngs" w:hAnsi="Arial" w:cs="Times New Roman"/>
          <w:b/>
          <w:sz w:val="24"/>
          <w:szCs w:val="20"/>
          <w:lang w:eastAsia="it-IT"/>
        </w:rPr>
      </w:pPr>
      <w:r>
        <w:rPr>
          <w:rFonts w:ascii="Arial" w:eastAsia="MS Minngs" w:hAnsi="Arial" w:cs="Times New Roman"/>
          <w:b/>
          <w:sz w:val="24"/>
          <w:szCs w:val="20"/>
          <w:lang w:eastAsia="it-IT"/>
        </w:rPr>
        <w:t>Osservazioni</w:t>
      </w:r>
    </w:p>
    <w:p w:rsidR="00FB4059" w:rsidRDefault="00FB4059" w:rsidP="004C6D81">
      <w:pPr>
        <w:jc w:val="both"/>
        <w:rPr>
          <w:rFonts w:ascii="Arial" w:hAnsi="Arial" w:cs="Arial"/>
          <w:sz w:val="24"/>
          <w:szCs w:val="24"/>
        </w:rPr>
      </w:pPr>
      <w:r w:rsidRPr="004C6D81">
        <w:rPr>
          <w:rFonts w:ascii="Arial" w:hAnsi="Arial" w:cs="Arial"/>
          <w:sz w:val="24"/>
          <w:szCs w:val="24"/>
        </w:rPr>
        <w:t>La rilevanza della qualificazione giuridica</w:t>
      </w:r>
      <w:r w:rsidR="00B130BD">
        <w:rPr>
          <w:rFonts w:ascii="Arial" w:hAnsi="Arial" w:cs="Arial"/>
          <w:sz w:val="24"/>
          <w:szCs w:val="24"/>
        </w:rPr>
        <w:t xml:space="preserve"> dell’azione è tale da</w:t>
      </w:r>
      <w:r w:rsidRPr="004C6D81">
        <w:rPr>
          <w:rFonts w:ascii="Arial" w:hAnsi="Arial" w:cs="Arial"/>
          <w:sz w:val="24"/>
          <w:szCs w:val="24"/>
        </w:rPr>
        <w:t xml:space="preserve"> </w:t>
      </w:r>
      <w:r w:rsidR="004C6D81" w:rsidRPr="004C6D81">
        <w:rPr>
          <w:rFonts w:ascii="Arial" w:hAnsi="Arial" w:cs="Arial"/>
          <w:sz w:val="24"/>
          <w:szCs w:val="24"/>
        </w:rPr>
        <w:t>condizionare l’impostazione</w:t>
      </w:r>
      <w:r w:rsidR="004C6D81">
        <w:rPr>
          <w:rFonts w:ascii="Arial" w:hAnsi="Arial" w:cs="Arial"/>
          <w:sz w:val="24"/>
          <w:szCs w:val="24"/>
        </w:rPr>
        <w:t xml:space="preserve"> dell’</w:t>
      </w:r>
      <w:r w:rsidR="00CC368B">
        <w:rPr>
          <w:rFonts w:ascii="Arial" w:hAnsi="Arial" w:cs="Arial"/>
          <w:sz w:val="24"/>
          <w:szCs w:val="24"/>
        </w:rPr>
        <w:t>intero giudizio</w:t>
      </w:r>
      <w:r w:rsidR="00B130BD">
        <w:rPr>
          <w:rFonts w:ascii="Arial" w:hAnsi="Arial" w:cs="Arial"/>
          <w:sz w:val="24"/>
          <w:szCs w:val="24"/>
        </w:rPr>
        <w:t xml:space="preserve"> di merito</w:t>
      </w:r>
      <w:r w:rsidR="009C6123">
        <w:rPr>
          <w:rFonts w:ascii="Arial" w:hAnsi="Arial" w:cs="Arial"/>
          <w:sz w:val="24"/>
          <w:szCs w:val="24"/>
        </w:rPr>
        <w:t xml:space="preserve">. </w:t>
      </w:r>
      <w:r w:rsidR="004D3C34">
        <w:rPr>
          <w:rFonts w:ascii="Arial" w:hAnsi="Arial" w:cs="Arial"/>
          <w:sz w:val="24"/>
          <w:szCs w:val="24"/>
        </w:rPr>
        <w:t xml:space="preserve">Le parti possono anche decidere di sottoporre tale questione in via preliminare al giudice, quando l’accoglimento di una posizione piuttosto che un’altra possa determinare la prosecuzione o meno del giudizio di merito. </w:t>
      </w:r>
      <w:r w:rsidR="00B130BD">
        <w:rPr>
          <w:rFonts w:ascii="Arial" w:hAnsi="Arial" w:cs="Arial"/>
          <w:sz w:val="24"/>
          <w:szCs w:val="24"/>
        </w:rPr>
        <w:t xml:space="preserve">Nel primo caso avremmo </w:t>
      </w:r>
      <w:r w:rsidR="00B130BD">
        <w:rPr>
          <w:rFonts w:ascii="Arial" w:hAnsi="Arial" w:cs="Arial"/>
          <w:sz w:val="24"/>
          <w:szCs w:val="24"/>
        </w:rPr>
        <w:lastRenderedPageBreak/>
        <w:t xml:space="preserve">una sentenza non definitiva, impugnabile immediatamente o insieme alla sentenza definitiva se viene fatta riserva d’appello; nel secondo caso una sentenza non definitiva. </w:t>
      </w:r>
    </w:p>
    <w:p w:rsidR="004D3C34" w:rsidRDefault="00FA5373" w:rsidP="00631C6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 giudice può</w:t>
      </w:r>
      <w:r w:rsidR="00631C65">
        <w:rPr>
          <w:rFonts w:ascii="Arial" w:hAnsi="Arial" w:cs="Arial"/>
          <w:sz w:val="24"/>
          <w:szCs w:val="24"/>
        </w:rPr>
        <w:t xml:space="preserve"> risolvere anche implicitamente la questione relativa </w:t>
      </w:r>
      <w:r w:rsidR="00511D3A">
        <w:rPr>
          <w:rFonts w:ascii="Arial" w:hAnsi="Arial" w:cs="Arial"/>
          <w:sz w:val="24"/>
          <w:szCs w:val="24"/>
        </w:rPr>
        <w:t xml:space="preserve">alla qualificazione giuridica dell’azione e tale </w:t>
      </w:r>
      <w:r w:rsidR="001379A5">
        <w:rPr>
          <w:rFonts w:ascii="Arial" w:hAnsi="Arial" w:cs="Arial"/>
          <w:sz w:val="24"/>
          <w:szCs w:val="24"/>
        </w:rPr>
        <w:t>impostazione potrebbe essere arguita</w:t>
      </w:r>
      <w:r w:rsidR="00511D3A">
        <w:rPr>
          <w:rFonts w:ascii="Arial" w:hAnsi="Arial" w:cs="Arial"/>
          <w:sz w:val="24"/>
          <w:szCs w:val="24"/>
        </w:rPr>
        <w:t xml:space="preserve"> </w:t>
      </w:r>
      <w:r w:rsidR="00B130BD">
        <w:rPr>
          <w:rFonts w:ascii="Arial" w:hAnsi="Arial" w:cs="Arial"/>
          <w:sz w:val="24"/>
          <w:szCs w:val="24"/>
        </w:rPr>
        <w:t>non solo dal dispositivo, ma anche dalla motivazione</w:t>
      </w:r>
      <w:r w:rsidR="001379A5">
        <w:rPr>
          <w:rFonts w:ascii="Arial" w:hAnsi="Arial" w:cs="Arial"/>
          <w:sz w:val="24"/>
          <w:szCs w:val="24"/>
        </w:rPr>
        <w:t xml:space="preserve">. </w:t>
      </w:r>
    </w:p>
    <w:p w:rsidR="00631C65" w:rsidRDefault="00A03CE0" w:rsidP="00631C6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L’impostazione giuridica della causa è di esclusiva pertinenza </w:t>
      </w:r>
      <w:r w:rsidR="00A900B2">
        <w:rPr>
          <w:rFonts w:ascii="Arial" w:hAnsi="Arial" w:cs="Arial"/>
          <w:sz w:val="24"/>
          <w:szCs w:val="24"/>
        </w:rPr>
        <w:t xml:space="preserve">del giudice, perciò si può ritenere che quando essa emerga </w:t>
      </w:r>
      <w:r w:rsidR="00933E74">
        <w:rPr>
          <w:rFonts w:ascii="Arial" w:hAnsi="Arial" w:cs="Arial"/>
          <w:sz w:val="24"/>
          <w:szCs w:val="24"/>
        </w:rPr>
        <w:t>implicitamente dal complesso della deci</w:t>
      </w:r>
      <w:r w:rsidR="00440ADE">
        <w:rPr>
          <w:rFonts w:ascii="Arial" w:hAnsi="Arial" w:cs="Arial"/>
          <w:sz w:val="24"/>
          <w:szCs w:val="24"/>
        </w:rPr>
        <w:t>sione, per evitare che su di essa scenda giudicato implicito</w:t>
      </w:r>
      <w:r w:rsidR="00FA5373">
        <w:rPr>
          <w:rFonts w:ascii="Arial" w:hAnsi="Arial" w:cs="Arial"/>
          <w:sz w:val="24"/>
          <w:szCs w:val="24"/>
        </w:rPr>
        <w:t xml:space="preserve"> sia</w:t>
      </w:r>
      <w:r w:rsidR="00440ADE">
        <w:rPr>
          <w:rFonts w:ascii="Arial" w:hAnsi="Arial" w:cs="Arial"/>
          <w:sz w:val="24"/>
          <w:szCs w:val="24"/>
        </w:rPr>
        <w:t xml:space="preserve"> necessario impugnarla espressamente.</w:t>
      </w:r>
    </w:p>
    <w:p w:rsidR="001379A5" w:rsidRPr="00631C65" w:rsidRDefault="001379A5" w:rsidP="00613E27">
      <w:pPr>
        <w:widowControl w:val="0"/>
        <w:tabs>
          <w:tab w:val="left" w:pos="9540"/>
        </w:tabs>
        <w:overflowPunct w:val="0"/>
        <w:autoSpaceDE w:val="0"/>
        <w:autoSpaceDN w:val="0"/>
        <w:adjustRightInd w:val="0"/>
        <w:spacing w:after="0" w:line="360" w:lineRule="auto"/>
        <w:ind w:right="-82"/>
        <w:jc w:val="both"/>
        <w:rPr>
          <w:rFonts w:ascii="Arial" w:eastAsia="MS Minngs" w:hAnsi="Arial" w:cs="Times New Roman"/>
          <w:b/>
          <w:sz w:val="24"/>
          <w:szCs w:val="20"/>
          <w:lang w:eastAsia="it-IT"/>
        </w:rPr>
      </w:pPr>
    </w:p>
    <w:p w:rsidR="00613E27" w:rsidRPr="00613E27" w:rsidRDefault="00613E27" w:rsidP="00613E27">
      <w:pPr>
        <w:widowControl w:val="0"/>
        <w:tabs>
          <w:tab w:val="left" w:pos="9540"/>
        </w:tabs>
        <w:overflowPunct w:val="0"/>
        <w:autoSpaceDE w:val="0"/>
        <w:autoSpaceDN w:val="0"/>
        <w:adjustRightInd w:val="0"/>
        <w:spacing w:after="0" w:line="360" w:lineRule="auto"/>
        <w:ind w:right="-82"/>
        <w:jc w:val="both"/>
        <w:rPr>
          <w:rFonts w:ascii="Arial" w:eastAsia="MS Minngs" w:hAnsi="Arial" w:cs="Times New Roman"/>
          <w:b/>
          <w:sz w:val="24"/>
          <w:szCs w:val="20"/>
          <w:lang w:eastAsia="it-IT"/>
        </w:rPr>
      </w:pPr>
      <w:r w:rsidRPr="00613E27">
        <w:rPr>
          <w:rFonts w:ascii="Arial" w:eastAsia="MS Minngs" w:hAnsi="Arial" w:cs="Times New Roman"/>
          <w:b/>
          <w:sz w:val="24"/>
          <w:szCs w:val="20"/>
          <w:lang w:eastAsia="it-IT"/>
        </w:rPr>
        <w:t>Precedenti conformi e difformi</w:t>
      </w:r>
    </w:p>
    <w:p w:rsidR="004C4E13" w:rsidRDefault="00EA10B8" w:rsidP="00EA10B8">
      <w:pPr>
        <w:jc w:val="both"/>
        <w:rPr>
          <w:rFonts w:ascii="Arial" w:hAnsi="Arial" w:cs="Arial"/>
          <w:sz w:val="24"/>
          <w:szCs w:val="24"/>
        </w:rPr>
      </w:pPr>
      <w:r w:rsidRPr="00EA10B8">
        <w:rPr>
          <w:rFonts w:ascii="Arial" w:hAnsi="Arial" w:cs="Arial"/>
          <w:sz w:val="24"/>
          <w:szCs w:val="24"/>
        </w:rPr>
        <w:t xml:space="preserve">Conformi: </w:t>
      </w:r>
      <w:r w:rsidR="00EF3BB7">
        <w:rPr>
          <w:rFonts w:ascii="Arial" w:hAnsi="Arial" w:cs="Arial"/>
          <w:sz w:val="24"/>
          <w:szCs w:val="24"/>
        </w:rPr>
        <w:t xml:space="preserve">Cass. 18 ottobre </w:t>
      </w:r>
      <w:r w:rsidR="00EF3BB7" w:rsidRPr="00876135">
        <w:rPr>
          <w:rFonts w:ascii="Arial" w:hAnsi="Arial" w:cs="Arial"/>
          <w:sz w:val="24"/>
          <w:szCs w:val="24"/>
        </w:rPr>
        <w:t>1991, n.11022</w:t>
      </w:r>
      <w:r w:rsidR="00EF3BB7">
        <w:rPr>
          <w:rFonts w:ascii="Arial" w:hAnsi="Arial" w:cs="Arial"/>
          <w:sz w:val="24"/>
          <w:szCs w:val="24"/>
        </w:rPr>
        <w:t xml:space="preserve">; Id. 17 dicembre </w:t>
      </w:r>
      <w:r w:rsidR="00EF3BB7" w:rsidRPr="00876135">
        <w:rPr>
          <w:rFonts w:ascii="Arial" w:hAnsi="Arial" w:cs="Arial"/>
          <w:sz w:val="24"/>
          <w:szCs w:val="24"/>
        </w:rPr>
        <w:t>1993, n.</w:t>
      </w:r>
      <w:r w:rsidR="00CB7308">
        <w:rPr>
          <w:rFonts w:ascii="Arial" w:hAnsi="Arial" w:cs="Arial"/>
          <w:sz w:val="24"/>
          <w:szCs w:val="24"/>
        </w:rPr>
        <w:t xml:space="preserve"> </w:t>
      </w:r>
      <w:r w:rsidR="00EF3BB7" w:rsidRPr="00876135">
        <w:rPr>
          <w:rFonts w:ascii="Arial" w:hAnsi="Arial" w:cs="Arial"/>
          <w:sz w:val="24"/>
          <w:szCs w:val="24"/>
        </w:rPr>
        <w:t>12499</w:t>
      </w:r>
      <w:r w:rsidR="00EF3BB7">
        <w:rPr>
          <w:rFonts w:ascii="Arial" w:hAnsi="Arial" w:cs="Arial"/>
          <w:sz w:val="24"/>
          <w:szCs w:val="24"/>
        </w:rPr>
        <w:t xml:space="preserve">; id. 7 agosto </w:t>
      </w:r>
      <w:r w:rsidR="00EF3BB7" w:rsidRPr="00876135">
        <w:rPr>
          <w:rFonts w:ascii="Arial" w:hAnsi="Arial" w:cs="Arial"/>
          <w:sz w:val="24"/>
          <w:szCs w:val="24"/>
        </w:rPr>
        <w:t>1996, n. 7260</w:t>
      </w:r>
      <w:r w:rsidR="00EF3BB7">
        <w:rPr>
          <w:rFonts w:ascii="Arial" w:hAnsi="Arial" w:cs="Arial"/>
          <w:sz w:val="24"/>
          <w:szCs w:val="24"/>
        </w:rPr>
        <w:t xml:space="preserve">; Id. 7 novembre </w:t>
      </w:r>
      <w:r w:rsidR="00EF3BB7" w:rsidRPr="00876135">
        <w:rPr>
          <w:rFonts w:ascii="Arial" w:hAnsi="Arial" w:cs="Arial"/>
          <w:sz w:val="24"/>
          <w:szCs w:val="24"/>
        </w:rPr>
        <w:t>2005, n.</w:t>
      </w:r>
      <w:r w:rsidR="00CB7308">
        <w:rPr>
          <w:rFonts w:ascii="Arial" w:hAnsi="Arial" w:cs="Arial"/>
          <w:sz w:val="24"/>
          <w:szCs w:val="24"/>
        </w:rPr>
        <w:t xml:space="preserve"> </w:t>
      </w:r>
      <w:r w:rsidR="00EF3BB7" w:rsidRPr="00876135">
        <w:rPr>
          <w:rFonts w:ascii="Arial" w:hAnsi="Arial" w:cs="Arial"/>
          <w:sz w:val="24"/>
          <w:szCs w:val="24"/>
        </w:rPr>
        <w:t>21490</w:t>
      </w:r>
      <w:r w:rsidR="00EF3BB7">
        <w:rPr>
          <w:rFonts w:ascii="Arial" w:hAnsi="Arial" w:cs="Arial"/>
          <w:sz w:val="24"/>
          <w:szCs w:val="24"/>
        </w:rPr>
        <w:t xml:space="preserve">; Id. 1 agosto </w:t>
      </w:r>
      <w:r w:rsidR="00EF3BB7" w:rsidRPr="0058763E">
        <w:rPr>
          <w:rFonts w:ascii="Arial" w:hAnsi="Arial" w:cs="Arial"/>
          <w:sz w:val="24"/>
          <w:szCs w:val="24"/>
        </w:rPr>
        <w:t>2013, n.</w:t>
      </w:r>
      <w:r w:rsidR="00CB7308">
        <w:rPr>
          <w:rFonts w:ascii="Arial" w:hAnsi="Arial" w:cs="Arial"/>
          <w:sz w:val="24"/>
          <w:szCs w:val="24"/>
        </w:rPr>
        <w:t xml:space="preserve"> </w:t>
      </w:r>
      <w:r w:rsidR="00EF3BB7" w:rsidRPr="0058763E">
        <w:rPr>
          <w:rFonts w:ascii="Arial" w:hAnsi="Arial" w:cs="Arial"/>
          <w:sz w:val="24"/>
          <w:szCs w:val="24"/>
        </w:rPr>
        <w:t>18427</w:t>
      </w:r>
      <w:r w:rsidR="00EF3BB7">
        <w:rPr>
          <w:rFonts w:ascii="Arial" w:hAnsi="Arial" w:cs="Arial"/>
          <w:sz w:val="24"/>
          <w:szCs w:val="24"/>
        </w:rPr>
        <w:t xml:space="preserve">; Id. </w:t>
      </w:r>
      <w:r w:rsidR="00EF3BB7" w:rsidRPr="00876135">
        <w:rPr>
          <w:rFonts w:ascii="Arial" w:hAnsi="Arial" w:cs="Arial"/>
          <w:sz w:val="24"/>
          <w:szCs w:val="24"/>
        </w:rPr>
        <w:t>19 marzo 2018, n. 6716</w:t>
      </w:r>
    </w:p>
    <w:p w:rsidR="00041704" w:rsidRDefault="00041704" w:rsidP="00876135">
      <w:pPr>
        <w:jc w:val="both"/>
        <w:rPr>
          <w:rFonts w:ascii="Arial" w:hAnsi="Arial" w:cs="Arial"/>
          <w:sz w:val="24"/>
          <w:szCs w:val="24"/>
        </w:rPr>
      </w:pPr>
    </w:p>
    <w:p w:rsidR="007519C3" w:rsidRDefault="0020426B" w:rsidP="00FB4059">
      <w:pPr>
        <w:jc w:val="both"/>
        <w:rPr>
          <w:rFonts w:ascii="Arial" w:eastAsia="MS Minngs" w:hAnsi="Arial" w:cs="Times New Roman"/>
          <w:b/>
          <w:sz w:val="24"/>
          <w:szCs w:val="20"/>
          <w:lang w:eastAsia="it-IT"/>
        </w:rPr>
      </w:pPr>
      <w:r>
        <w:rPr>
          <w:rFonts w:ascii="Arial" w:eastAsia="MS Minngs" w:hAnsi="Arial" w:cs="Times New Roman"/>
          <w:b/>
          <w:sz w:val="24"/>
          <w:szCs w:val="20"/>
          <w:lang w:eastAsia="it-IT"/>
        </w:rPr>
        <w:t>Guida all’approfondimento</w:t>
      </w:r>
      <w:r w:rsidR="00FE5779">
        <w:rPr>
          <w:rFonts w:ascii="Arial" w:eastAsia="MS Minngs" w:hAnsi="Arial" w:cs="Times New Roman"/>
          <w:b/>
          <w:sz w:val="24"/>
          <w:szCs w:val="20"/>
          <w:lang w:eastAsia="it-IT"/>
        </w:rPr>
        <w:t xml:space="preserve">: </w:t>
      </w:r>
    </w:p>
    <w:p w:rsidR="00631C65" w:rsidRDefault="00631C65" w:rsidP="00631C65">
      <w:pPr>
        <w:spacing w:after="0"/>
        <w:jc w:val="both"/>
        <w:rPr>
          <w:rFonts w:ascii="Arial" w:hAnsi="Arial" w:cs="Arial"/>
          <w:sz w:val="24"/>
          <w:szCs w:val="24"/>
        </w:rPr>
      </w:pPr>
      <w:r w:rsidRPr="00631C65">
        <w:rPr>
          <w:rFonts w:ascii="Arial" w:eastAsia="MS Minngs" w:hAnsi="Arial" w:cs="Arial"/>
          <w:sz w:val="24"/>
          <w:szCs w:val="24"/>
          <w:lang w:eastAsia="it-IT"/>
        </w:rPr>
        <w:t xml:space="preserve">Per approfondimenti sul giudicato si veda: </w:t>
      </w:r>
      <w:r w:rsidRPr="00631C65">
        <w:rPr>
          <w:rFonts w:ascii="Arial" w:hAnsi="Arial" w:cs="Arial"/>
          <w:sz w:val="24"/>
          <w:szCs w:val="24"/>
        </w:rPr>
        <w:t xml:space="preserve">Menchini, </w:t>
      </w:r>
      <w:r w:rsidRPr="00631C65">
        <w:rPr>
          <w:rFonts w:ascii="Arial" w:hAnsi="Arial" w:cs="Arial"/>
          <w:i/>
          <w:sz w:val="24"/>
          <w:szCs w:val="24"/>
        </w:rPr>
        <w:t>I limiti oggettivi del giudicato civile,</w:t>
      </w:r>
      <w:r w:rsidRPr="00631C65">
        <w:rPr>
          <w:rFonts w:ascii="Arial" w:hAnsi="Arial" w:cs="Arial"/>
          <w:sz w:val="24"/>
          <w:szCs w:val="24"/>
        </w:rPr>
        <w:t xml:space="preserve"> Milano, 1987, 197 ss.; Id., </w:t>
      </w:r>
      <w:r w:rsidRPr="00631C65">
        <w:rPr>
          <w:rFonts w:ascii="Arial" w:hAnsi="Arial" w:cs="Arial"/>
          <w:i/>
          <w:sz w:val="24"/>
          <w:szCs w:val="24"/>
        </w:rPr>
        <w:t xml:space="preserve">Il giudicato civile, </w:t>
      </w:r>
      <w:r w:rsidRPr="00631C65">
        <w:rPr>
          <w:rFonts w:ascii="Arial" w:hAnsi="Arial" w:cs="Arial"/>
          <w:sz w:val="24"/>
          <w:szCs w:val="24"/>
        </w:rPr>
        <w:t xml:space="preserve">Torino, 1988; Id., </w:t>
      </w:r>
      <w:proofErr w:type="spellStart"/>
      <w:r w:rsidRPr="00631C65">
        <w:rPr>
          <w:rFonts w:ascii="Arial" w:hAnsi="Arial" w:cs="Arial"/>
          <w:i/>
          <w:sz w:val="24"/>
          <w:szCs w:val="24"/>
        </w:rPr>
        <w:t>Reigiudicata</w:t>
      </w:r>
      <w:proofErr w:type="spellEnd"/>
      <w:r w:rsidRPr="00631C65">
        <w:rPr>
          <w:rFonts w:ascii="Arial" w:hAnsi="Arial" w:cs="Arial"/>
          <w:i/>
          <w:sz w:val="24"/>
          <w:szCs w:val="24"/>
        </w:rPr>
        <w:t xml:space="preserve"> civile</w:t>
      </w:r>
      <w:r w:rsidRPr="00631C65">
        <w:rPr>
          <w:rFonts w:ascii="Arial" w:hAnsi="Arial" w:cs="Arial"/>
          <w:sz w:val="24"/>
          <w:szCs w:val="24"/>
        </w:rPr>
        <w:t xml:space="preserve">, in </w:t>
      </w:r>
      <w:proofErr w:type="spellStart"/>
      <w:r w:rsidRPr="00631C65">
        <w:rPr>
          <w:rFonts w:ascii="Arial" w:hAnsi="Arial" w:cs="Arial"/>
          <w:sz w:val="24"/>
          <w:szCs w:val="24"/>
        </w:rPr>
        <w:t>Dig</w:t>
      </w:r>
      <w:proofErr w:type="spellEnd"/>
      <w:r w:rsidRPr="00631C65">
        <w:rPr>
          <w:rFonts w:ascii="Arial" w:hAnsi="Arial" w:cs="Arial"/>
          <w:sz w:val="24"/>
          <w:szCs w:val="24"/>
        </w:rPr>
        <w:t xml:space="preserve">. civ., Torino, 1997, IV, 404 ss.; Montesano, Diritto sostanziale e processo civile di cognizione nell'individuazione della domanda, in Riv. trim. dir. proc. civ., 1993, 63 ss.; Id., La tutela giurisdizionale dei diritti, Torino, 1994; Cavallini, </w:t>
      </w:r>
      <w:r w:rsidRPr="00631C65">
        <w:rPr>
          <w:rFonts w:ascii="Arial" w:hAnsi="Arial" w:cs="Arial"/>
          <w:i/>
          <w:sz w:val="24"/>
          <w:szCs w:val="24"/>
        </w:rPr>
        <w:t xml:space="preserve">L’efficacia (riflessa) della sentenza nel pensiero di E.T. </w:t>
      </w:r>
      <w:proofErr w:type="spellStart"/>
      <w:r w:rsidRPr="00631C65">
        <w:rPr>
          <w:rFonts w:ascii="Arial" w:hAnsi="Arial" w:cs="Arial"/>
          <w:i/>
          <w:sz w:val="24"/>
          <w:szCs w:val="24"/>
        </w:rPr>
        <w:t>Liebman</w:t>
      </w:r>
      <w:proofErr w:type="spellEnd"/>
      <w:r w:rsidRPr="00631C65">
        <w:rPr>
          <w:rFonts w:ascii="Arial" w:hAnsi="Arial" w:cs="Arial"/>
          <w:i/>
          <w:sz w:val="24"/>
          <w:szCs w:val="24"/>
        </w:rPr>
        <w:t xml:space="preserve">, </w:t>
      </w:r>
      <w:r w:rsidRPr="00631C65">
        <w:rPr>
          <w:rFonts w:ascii="Arial" w:hAnsi="Arial" w:cs="Arial"/>
          <w:sz w:val="24"/>
          <w:szCs w:val="24"/>
        </w:rPr>
        <w:t xml:space="preserve">in </w:t>
      </w:r>
      <w:r w:rsidRPr="00631C65">
        <w:rPr>
          <w:rFonts w:ascii="Arial" w:hAnsi="Arial" w:cs="Arial"/>
          <w:i/>
          <w:sz w:val="24"/>
          <w:szCs w:val="24"/>
        </w:rPr>
        <w:t xml:space="preserve">Riv. dir. proc., </w:t>
      </w:r>
      <w:r w:rsidRPr="00631C65">
        <w:rPr>
          <w:rFonts w:ascii="Arial" w:hAnsi="Arial" w:cs="Arial"/>
          <w:sz w:val="24"/>
          <w:szCs w:val="24"/>
        </w:rPr>
        <w:t xml:space="preserve">2007, 1221 ss.; </w:t>
      </w:r>
      <w:proofErr w:type="spellStart"/>
      <w:r w:rsidRPr="00631C65">
        <w:rPr>
          <w:rFonts w:ascii="Arial" w:hAnsi="Arial" w:cs="Arial"/>
          <w:sz w:val="24"/>
          <w:szCs w:val="24"/>
        </w:rPr>
        <w:t>Mandrioli</w:t>
      </w:r>
      <w:proofErr w:type="spellEnd"/>
      <w:r w:rsidRPr="00631C65">
        <w:rPr>
          <w:rFonts w:ascii="Arial" w:hAnsi="Arial" w:cs="Arial"/>
          <w:sz w:val="24"/>
          <w:szCs w:val="24"/>
        </w:rPr>
        <w:t xml:space="preserve">, </w:t>
      </w:r>
      <w:r w:rsidRPr="00631C65">
        <w:rPr>
          <w:rFonts w:ascii="Arial" w:hAnsi="Arial" w:cs="Arial"/>
          <w:i/>
          <w:sz w:val="24"/>
          <w:szCs w:val="24"/>
        </w:rPr>
        <w:t>Diritto processuale civile</w:t>
      </w:r>
      <w:r w:rsidRPr="00631C65">
        <w:rPr>
          <w:rFonts w:ascii="Arial" w:hAnsi="Arial" w:cs="Arial"/>
          <w:sz w:val="24"/>
          <w:szCs w:val="24"/>
        </w:rPr>
        <w:t>, Torino, 2019, I</w:t>
      </w:r>
      <w:r w:rsidR="005B045D">
        <w:rPr>
          <w:rFonts w:ascii="Arial" w:hAnsi="Arial" w:cs="Arial"/>
          <w:sz w:val="24"/>
          <w:szCs w:val="24"/>
        </w:rPr>
        <w:t xml:space="preserve"> e II</w:t>
      </w:r>
      <w:r w:rsidRPr="00631C65">
        <w:rPr>
          <w:rFonts w:ascii="Arial" w:hAnsi="Arial" w:cs="Arial"/>
          <w:sz w:val="24"/>
          <w:szCs w:val="24"/>
        </w:rPr>
        <w:t xml:space="preserve">. </w:t>
      </w:r>
    </w:p>
    <w:p w:rsidR="00A76E52" w:rsidRDefault="00A76E52" w:rsidP="00631C6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76E52" w:rsidRPr="005B045D" w:rsidRDefault="00A76E52" w:rsidP="00631C6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 approfondimen</w:t>
      </w:r>
      <w:r w:rsidR="005B045D">
        <w:rPr>
          <w:rFonts w:ascii="Arial" w:hAnsi="Arial" w:cs="Arial"/>
          <w:sz w:val="24"/>
          <w:szCs w:val="24"/>
        </w:rPr>
        <w:t>ti sull’oggetto del giudizio d’appello si veda</w:t>
      </w:r>
      <w:r>
        <w:rPr>
          <w:rFonts w:ascii="Arial" w:hAnsi="Arial" w:cs="Arial"/>
          <w:sz w:val="24"/>
          <w:szCs w:val="24"/>
        </w:rPr>
        <w:t xml:space="preserve">: </w:t>
      </w:r>
      <w:r w:rsidR="005B045D">
        <w:rPr>
          <w:rFonts w:ascii="Arial" w:hAnsi="Arial" w:cs="Arial"/>
          <w:sz w:val="24"/>
          <w:szCs w:val="24"/>
        </w:rPr>
        <w:t xml:space="preserve">Poli, </w:t>
      </w:r>
      <w:r w:rsidR="005B045D">
        <w:rPr>
          <w:rFonts w:ascii="Arial" w:hAnsi="Arial" w:cs="Arial"/>
          <w:i/>
          <w:sz w:val="24"/>
          <w:szCs w:val="24"/>
        </w:rPr>
        <w:t xml:space="preserve">Giusto processo e oggetto del giudizio d’appello, </w:t>
      </w:r>
      <w:r w:rsidR="005B045D">
        <w:rPr>
          <w:rFonts w:ascii="Arial" w:hAnsi="Arial" w:cs="Arial"/>
          <w:sz w:val="24"/>
          <w:szCs w:val="24"/>
        </w:rPr>
        <w:t xml:space="preserve">in </w:t>
      </w:r>
      <w:r w:rsidR="005B045D">
        <w:rPr>
          <w:rFonts w:ascii="Arial" w:hAnsi="Arial" w:cs="Arial"/>
          <w:i/>
          <w:sz w:val="24"/>
          <w:szCs w:val="24"/>
        </w:rPr>
        <w:t xml:space="preserve">Riv. dir. proc., </w:t>
      </w:r>
      <w:r w:rsidR="005B045D">
        <w:rPr>
          <w:rFonts w:ascii="Arial" w:hAnsi="Arial" w:cs="Arial"/>
          <w:sz w:val="24"/>
          <w:szCs w:val="24"/>
        </w:rPr>
        <w:t xml:space="preserve">2010, 48; Carratta – </w:t>
      </w:r>
      <w:proofErr w:type="spellStart"/>
      <w:r w:rsidR="005B045D">
        <w:rPr>
          <w:rFonts w:ascii="Arial" w:hAnsi="Arial" w:cs="Arial"/>
          <w:sz w:val="24"/>
          <w:szCs w:val="24"/>
        </w:rPr>
        <w:t>Mandrioli</w:t>
      </w:r>
      <w:proofErr w:type="spellEnd"/>
      <w:r w:rsidR="005B045D">
        <w:rPr>
          <w:rFonts w:ascii="Arial" w:hAnsi="Arial" w:cs="Arial"/>
          <w:sz w:val="24"/>
          <w:szCs w:val="24"/>
        </w:rPr>
        <w:t xml:space="preserve">, </w:t>
      </w:r>
      <w:r w:rsidR="005B045D">
        <w:rPr>
          <w:rFonts w:ascii="Arial" w:hAnsi="Arial" w:cs="Arial"/>
          <w:i/>
          <w:sz w:val="24"/>
          <w:szCs w:val="24"/>
        </w:rPr>
        <w:t xml:space="preserve">Diritto processuale civile, </w:t>
      </w:r>
      <w:r w:rsidR="005B045D">
        <w:rPr>
          <w:rFonts w:ascii="Arial" w:hAnsi="Arial" w:cs="Arial"/>
          <w:sz w:val="24"/>
          <w:szCs w:val="24"/>
        </w:rPr>
        <w:t>Torino, 2019, II, 453.</w:t>
      </w:r>
      <w:r w:rsidR="005B045D">
        <w:rPr>
          <w:rFonts w:ascii="Arial" w:hAnsi="Arial" w:cs="Arial"/>
          <w:i/>
          <w:sz w:val="24"/>
          <w:szCs w:val="24"/>
        </w:rPr>
        <w:t xml:space="preserve"> </w:t>
      </w:r>
    </w:p>
    <w:p w:rsidR="00631C65" w:rsidRPr="00631C65" w:rsidRDefault="00631C65" w:rsidP="00FB4059">
      <w:pPr>
        <w:jc w:val="both"/>
        <w:rPr>
          <w:rFonts w:ascii="Arial" w:eastAsia="MS Minngs" w:hAnsi="Arial" w:cs="Times New Roman"/>
          <w:sz w:val="24"/>
          <w:szCs w:val="20"/>
          <w:lang w:eastAsia="it-IT"/>
        </w:rPr>
      </w:pPr>
    </w:p>
    <w:sectPr w:rsidR="00631C65" w:rsidRPr="00631C6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91AA7"/>
    <w:multiLevelType w:val="multilevel"/>
    <w:tmpl w:val="400A3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084148"/>
    <w:multiLevelType w:val="hybridMultilevel"/>
    <w:tmpl w:val="C874ADF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2E25B4"/>
    <w:multiLevelType w:val="hybridMultilevel"/>
    <w:tmpl w:val="0C52FB5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3D7EEB"/>
    <w:multiLevelType w:val="multilevel"/>
    <w:tmpl w:val="7DC44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5629F4"/>
    <w:multiLevelType w:val="hybridMultilevel"/>
    <w:tmpl w:val="0C52FB5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9274475">
    <w:abstractNumId w:val="4"/>
  </w:num>
  <w:num w:numId="2" w16cid:durableId="437071017">
    <w:abstractNumId w:val="2"/>
  </w:num>
  <w:num w:numId="3" w16cid:durableId="1696886327">
    <w:abstractNumId w:val="0"/>
  </w:num>
  <w:num w:numId="4" w16cid:durableId="772212646">
    <w:abstractNumId w:val="3"/>
  </w:num>
  <w:num w:numId="5" w16cid:durableId="19060685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A2A"/>
    <w:rsid w:val="000022D1"/>
    <w:rsid w:val="00005382"/>
    <w:rsid w:val="00015608"/>
    <w:rsid w:val="00017E12"/>
    <w:rsid w:val="00022CEE"/>
    <w:rsid w:val="00031AF0"/>
    <w:rsid w:val="00041704"/>
    <w:rsid w:val="00042ADE"/>
    <w:rsid w:val="00055B4C"/>
    <w:rsid w:val="0006343A"/>
    <w:rsid w:val="00074AFF"/>
    <w:rsid w:val="000A092B"/>
    <w:rsid w:val="000A16DF"/>
    <w:rsid w:val="000B0B4E"/>
    <w:rsid w:val="000B3FBF"/>
    <w:rsid w:val="000E02C5"/>
    <w:rsid w:val="000E0306"/>
    <w:rsid w:val="000F5B3D"/>
    <w:rsid w:val="001248DC"/>
    <w:rsid w:val="00125EB0"/>
    <w:rsid w:val="001379A5"/>
    <w:rsid w:val="00157D33"/>
    <w:rsid w:val="00177813"/>
    <w:rsid w:val="00180F16"/>
    <w:rsid w:val="0018540D"/>
    <w:rsid w:val="001867DA"/>
    <w:rsid w:val="001914E3"/>
    <w:rsid w:val="001A292F"/>
    <w:rsid w:val="001A591C"/>
    <w:rsid w:val="001B1EF9"/>
    <w:rsid w:val="001E5259"/>
    <w:rsid w:val="001F16F4"/>
    <w:rsid w:val="0020426B"/>
    <w:rsid w:val="002252DC"/>
    <w:rsid w:val="0024420C"/>
    <w:rsid w:val="002501A3"/>
    <w:rsid w:val="002516F4"/>
    <w:rsid w:val="00262900"/>
    <w:rsid w:val="00270B74"/>
    <w:rsid w:val="00277138"/>
    <w:rsid w:val="00285DBF"/>
    <w:rsid w:val="00290289"/>
    <w:rsid w:val="002963FA"/>
    <w:rsid w:val="002B40F6"/>
    <w:rsid w:val="002B530C"/>
    <w:rsid w:val="002B76CF"/>
    <w:rsid w:val="002B7AC8"/>
    <w:rsid w:val="002D4C36"/>
    <w:rsid w:val="002E0180"/>
    <w:rsid w:val="00303C16"/>
    <w:rsid w:val="00306517"/>
    <w:rsid w:val="00307EA7"/>
    <w:rsid w:val="00310090"/>
    <w:rsid w:val="00326613"/>
    <w:rsid w:val="00326C45"/>
    <w:rsid w:val="00332874"/>
    <w:rsid w:val="00351B20"/>
    <w:rsid w:val="00354DAA"/>
    <w:rsid w:val="00354FEE"/>
    <w:rsid w:val="0038267E"/>
    <w:rsid w:val="00384155"/>
    <w:rsid w:val="00395442"/>
    <w:rsid w:val="003D5FC5"/>
    <w:rsid w:val="003E74E7"/>
    <w:rsid w:val="00401E75"/>
    <w:rsid w:val="00404074"/>
    <w:rsid w:val="00420F10"/>
    <w:rsid w:val="00440ADE"/>
    <w:rsid w:val="004433A1"/>
    <w:rsid w:val="00446643"/>
    <w:rsid w:val="0045346B"/>
    <w:rsid w:val="0045415B"/>
    <w:rsid w:val="004575CF"/>
    <w:rsid w:val="004759B9"/>
    <w:rsid w:val="004833A1"/>
    <w:rsid w:val="00490054"/>
    <w:rsid w:val="0049173A"/>
    <w:rsid w:val="004B405B"/>
    <w:rsid w:val="004C092C"/>
    <w:rsid w:val="004C4E13"/>
    <w:rsid w:val="004C6D81"/>
    <w:rsid w:val="004D3C34"/>
    <w:rsid w:val="004F0922"/>
    <w:rsid w:val="004F5112"/>
    <w:rsid w:val="004F7ECD"/>
    <w:rsid w:val="00504287"/>
    <w:rsid w:val="00507224"/>
    <w:rsid w:val="00507A03"/>
    <w:rsid w:val="00511D3A"/>
    <w:rsid w:val="00520E3C"/>
    <w:rsid w:val="00522B17"/>
    <w:rsid w:val="00525029"/>
    <w:rsid w:val="00527C27"/>
    <w:rsid w:val="00571AF7"/>
    <w:rsid w:val="00572089"/>
    <w:rsid w:val="005819CB"/>
    <w:rsid w:val="0058763E"/>
    <w:rsid w:val="005B045D"/>
    <w:rsid w:val="005B489C"/>
    <w:rsid w:val="005B59CB"/>
    <w:rsid w:val="005B652B"/>
    <w:rsid w:val="005C00E1"/>
    <w:rsid w:val="005D5B4D"/>
    <w:rsid w:val="005E2441"/>
    <w:rsid w:val="005F4E36"/>
    <w:rsid w:val="00610261"/>
    <w:rsid w:val="006139A2"/>
    <w:rsid w:val="00613E27"/>
    <w:rsid w:val="006156B2"/>
    <w:rsid w:val="006300C1"/>
    <w:rsid w:val="00631C65"/>
    <w:rsid w:val="00635121"/>
    <w:rsid w:val="00636509"/>
    <w:rsid w:val="00644250"/>
    <w:rsid w:val="00654BED"/>
    <w:rsid w:val="006621C8"/>
    <w:rsid w:val="00670FDF"/>
    <w:rsid w:val="00673934"/>
    <w:rsid w:val="0067474E"/>
    <w:rsid w:val="006820D2"/>
    <w:rsid w:val="0068642C"/>
    <w:rsid w:val="00686BE7"/>
    <w:rsid w:val="00687F46"/>
    <w:rsid w:val="006919AB"/>
    <w:rsid w:val="006B1E6A"/>
    <w:rsid w:val="006D191E"/>
    <w:rsid w:val="006F12B2"/>
    <w:rsid w:val="006F3ADE"/>
    <w:rsid w:val="006F5285"/>
    <w:rsid w:val="00704B48"/>
    <w:rsid w:val="00712214"/>
    <w:rsid w:val="0071480F"/>
    <w:rsid w:val="007158DF"/>
    <w:rsid w:val="00717C0A"/>
    <w:rsid w:val="007327FF"/>
    <w:rsid w:val="007519C3"/>
    <w:rsid w:val="00767A4C"/>
    <w:rsid w:val="007853A2"/>
    <w:rsid w:val="0078758B"/>
    <w:rsid w:val="007B0386"/>
    <w:rsid w:val="007B2A3E"/>
    <w:rsid w:val="007B3AD7"/>
    <w:rsid w:val="007C34BB"/>
    <w:rsid w:val="007C42AB"/>
    <w:rsid w:val="007D40A1"/>
    <w:rsid w:val="007F20F5"/>
    <w:rsid w:val="007F6D50"/>
    <w:rsid w:val="00800FA9"/>
    <w:rsid w:val="008014C1"/>
    <w:rsid w:val="00814E44"/>
    <w:rsid w:val="0082428D"/>
    <w:rsid w:val="00827CFE"/>
    <w:rsid w:val="00830F70"/>
    <w:rsid w:val="00834E00"/>
    <w:rsid w:val="00840CA6"/>
    <w:rsid w:val="008417D7"/>
    <w:rsid w:val="00853DC8"/>
    <w:rsid w:val="00860717"/>
    <w:rsid w:val="00865049"/>
    <w:rsid w:val="0087272F"/>
    <w:rsid w:val="0087274A"/>
    <w:rsid w:val="00876135"/>
    <w:rsid w:val="0088264F"/>
    <w:rsid w:val="00887422"/>
    <w:rsid w:val="00892BE9"/>
    <w:rsid w:val="00893703"/>
    <w:rsid w:val="008C5545"/>
    <w:rsid w:val="008C5965"/>
    <w:rsid w:val="008C69D8"/>
    <w:rsid w:val="008D52A2"/>
    <w:rsid w:val="008F3286"/>
    <w:rsid w:val="008F514F"/>
    <w:rsid w:val="008F6F79"/>
    <w:rsid w:val="00904890"/>
    <w:rsid w:val="00910703"/>
    <w:rsid w:val="00911187"/>
    <w:rsid w:val="00933E74"/>
    <w:rsid w:val="00953A2A"/>
    <w:rsid w:val="009553A0"/>
    <w:rsid w:val="009572BC"/>
    <w:rsid w:val="00960150"/>
    <w:rsid w:val="00986DCA"/>
    <w:rsid w:val="00991089"/>
    <w:rsid w:val="00997F8A"/>
    <w:rsid w:val="009B2816"/>
    <w:rsid w:val="009B7D6C"/>
    <w:rsid w:val="009C5173"/>
    <w:rsid w:val="009C6123"/>
    <w:rsid w:val="009D5624"/>
    <w:rsid w:val="009D76F2"/>
    <w:rsid w:val="009F13F9"/>
    <w:rsid w:val="009F5256"/>
    <w:rsid w:val="00A01915"/>
    <w:rsid w:val="00A03CE0"/>
    <w:rsid w:val="00A11C06"/>
    <w:rsid w:val="00A15E32"/>
    <w:rsid w:val="00A161E3"/>
    <w:rsid w:val="00A179C6"/>
    <w:rsid w:val="00A26171"/>
    <w:rsid w:val="00A41E69"/>
    <w:rsid w:val="00A4370F"/>
    <w:rsid w:val="00A5106B"/>
    <w:rsid w:val="00A519E0"/>
    <w:rsid w:val="00A52A81"/>
    <w:rsid w:val="00A54AE0"/>
    <w:rsid w:val="00A640C6"/>
    <w:rsid w:val="00A665BD"/>
    <w:rsid w:val="00A717DD"/>
    <w:rsid w:val="00A76E52"/>
    <w:rsid w:val="00A76FEE"/>
    <w:rsid w:val="00A83EFD"/>
    <w:rsid w:val="00A900B2"/>
    <w:rsid w:val="00AA2FAF"/>
    <w:rsid w:val="00AF52BC"/>
    <w:rsid w:val="00AF6109"/>
    <w:rsid w:val="00B10F56"/>
    <w:rsid w:val="00B130BD"/>
    <w:rsid w:val="00B24B6F"/>
    <w:rsid w:val="00B4308F"/>
    <w:rsid w:val="00B854FE"/>
    <w:rsid w:val="00B9246E"/>
    <w:rsid w:val="00BB1575"/>
    <w:rsid w:val="00BB177B"/>
    <w:rsid w:val="00BC6145"/>
    <w:rsid w:val="00BC627C"/>
    <w:rsid w:val="00BD6EBE"/>
    <w:rsid w:val="00BF573E"/>
    <w:rsid w:val="00C0178E"/>
    <w:rsid w:val="00C05F04"/>
    <w:rsid w:val="00C24A45"/>
    <w:rsid w:val="00C4380A"/>
    <w:rsid w:val="00C61D67"/>
    <w:rsid w:val="00C729B9"/>
    <w:rsid w:val="00C944C0"/>
    <w:rsid w:val="00C94F30"/>
    <w:rsid w:val="00C970D9"/>
    <w:rsid w:val="00CA641D"/>
    <w:rsid w:val="00CB0D39"/>
    <w:rsid w:val="00CB2594"/>
    <w:rsid w:val="00CB540C"/>
    <w:rsid w:val="00CB7308"/>
    <w:rsid w:val="00CB7342"/>
    <w:rsid w:val="00CC368B"/>
    <w:rsid w:val="00CC6AF6"/>
    <w:rsid w:val="00CC6F8A"/>
    <w:rsid w:val="00CD48C3"/>
    <w:rsid w:val="00CD4EDC"/>
    <w:rsid w:val="00CD59EF"/>
    <w:rsid w:val="00CE145B"/>
    <w:rsid w:val="00CE55B6"/>
    <w:rsid w:val="00CE6482"/>
    <w:rsid w:val="00CF3F79"/>
    <w:rsid w:val="00D10D13"/>
    <w:rsid w:val="00D11366"/>
    <w:rsid w:val="00D16A23"/>
    <w:rsid w:val="00D1786D"/>
    <w:rsid w:val="00D225C0"/>
    <w:rsid w:val="00D327B7"/>
    <w:rsid w:val="00D473E9"/>
    <w:rsid w:val="00D56671"/>
    <w:rsid w:val="00D61C5B"/>
    <w:rsid w:val="00D6625B"/>
    <w:rsid w:val="00D769CF"/>
    <w:rsid w:val="00D8319F"/>
    <w:rsid w:val="00D950CB"/>
    <w:rsid w:val="00D9720B"/>
    <w:rsid w:val="00DA4D95"/>
    <w:rsid w:val="00DA76EF"/>
    <w:rsid w:val="00DB4E34"/>
    <w:rsid w:val="00DD7D3A"/>
    <w:rsid w:val="00E03031"/>
    <w:rsid w:val="00E37EA5"/>
    <w:rsid w:val="00E408A6"/>
    <w:rsid w:val="00E42492"/>
    <w:rsid w:val="00E453C1"/>
    <w:rsid w:val="00E50390"/>
    <w:rsid w:val="00E5524E"/>
    <w:rsid w:val="00E6042C"/>
    <w:rsid w:val="00E6103B"/>
    <w:rsid w:val="00E62547"/>
    <w:rsid w:val="00E659F3"/>
    <w:rsid w:val="00E81424"/>
    <w:rsid w:val="00E82CE8"/>
    <w:rsid w:val="00E8748F"/>
    <w:rsid w:val="00E95F50"/>
    <w:rsid w:val="00EA10B8"/>
    <w:rsid w:val="00EB1AA1"/>
    <w:rsid w:val="00EB3162"/>
    <w:rsid w:val="00EB4221"/>
    <w:rsid w:val="00EB6524"/>
    <w:rsid w:val="00EC260B"/>
    <w:rsid w:val="00ED29E3"/>
    <w:rsid w:val="00ED366B"/>
    <w:rsid w:val="00ED6C40"/>
    <w:rsid w:val="00EE0856"/>
    <w:rsid w:val="00EE3389"/>
    <w:rsid w:val="00EE3D12"/>
    <w:rsid w:val="00EF1D04"/>
    <w:rsid w:val="00EF3BB7"/>
    <w:rsid w:val="00F0095A"/>
    <w:rsid w:val="00F02BF3"/>
    <w:rsid w:val="00F053B9"/>
    <w:rsid w:val="00F355F9"/>
    <w:rsid w:val="00F51A37"/>
    <w:rsid w:val="00F620B2"/>
    <w:rsid w:val="00F642AB"/>
    <w:rsid w:val="00F65A37"/>
    <w:rsid w:val="00F666C8"/>
    <w:rsid w:val="00F67A80"/>
    <w:rsid w:val="00F715A2"/>
    <w:rsid w:val="00FA5373"/>
    <w:rsid w:val="00FA54AF"/>
    <w:rsid w:val="00FB3161"/>
    <w:rsid w:val="00FB4059"/>
    <w:rsid w:val="00FD4D20"/>
    <w:rsid w:val="00FE162E"/>
    <w:rsid w:val="00FE3AD9"/>
    <w:rsid w:val="00FE4577"/>
    <w:rsid w:val="00FE5779"/>
    <w:rsid w:val="00FF0F0A"/>
    <w:rsid w:val="00FF5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7E6C76-385B-43C6-943D-F2FCE40EF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53A2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F514F"/>
    <w:pPr>
      <w:ind w:left="720"/>
      <w:contextualSpacing/>
    </w:pPr>
  </w:style>
  <w:style w:type="paragraph" w:customStyle="1" w:styleId="Normale1">
    <w:name w:val="Normale1"/>
    <w:basedOn w:val="Normale"/>
    <w:rsid w:val="00EB6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8C69D8"/>
  </w:style>
  <w:style w:type="character" w:styleId="Collegamentoipertestuale">
    <w:name w:val="Hyperlink"/>
    <w:basedOn w:val="Carpredefinitoparagrafo"/>
    <w:uiPriority w:val="99"/>
    <w:unhideWhenUsed/>
    <w:rsid w:val="0020426B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F0095A"/>
    <w:rPr>
      <w:b/>
      <w:bCs/>
    </w:rPr>
  </w:style>
  <w:style w:type="paragraph" w:customStyle="1" w:styleId="Default">
    <w:name w:val="Default"/>
    <w:rsid w:val="008F6F7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0156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resultlisthighlightterm">
    <w:name w:val="resultlisthighlightterm"/>
    <w:basedOn w:val="Carpredefinitoparagrafo"/>
    <w:rsid w:val="00015608"/>
  </w:style>
  <w:style w:type="character" w:customStyle="1" w:styleId="st">
    <w:name w:val="st"/>
    <w:basedOn w:val="Carpredefinitoparagrafo"/>
    <w:rsid w:val="000022D1"/>
  </w:style>
  <w:style w:type="character" w:styleId="Enfasicorsivo">
    <w:name w:val="Emphasis"/>
    <w:basedOn w:val="Carpredefinitoparagrafo"/>
    <w:uiPriority w:val="20"/>
    <w:qFormat/>
    <w:rsid w:val="000022D1"/>
    <w:rPr>
      <w:i/>
      <w:iCs/>
    </w:rPr>
  </w:style>
  <w:style w:type="character" w:customStyle="1" w:styleId="sc">
    <w:name w:val="sc"/>
    <w:basedOn w:val="Carpredefinitoparagrafo"/>
    <w:rsid w:val="00A76FEE"/>
  </w:style>
  <w:style w:type="paragraph" w:customStyle="1" w:styleId="comma">
    <w:name w:val="comma"/>
    <w:basedOn w:val="Normale"/>
    <w:rsid w:val="002B7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8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00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15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02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08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37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1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39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8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69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94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09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25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91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947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557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521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713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688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040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841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341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4319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731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45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74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635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5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678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7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1044</Words>
  <Characters>5955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massimo vaccari</dc:creator>
  <cp:lastModifiedBy>livia.dicola@unimc.it</cp:lastModifiedBy>
  <cp:revision>2</cp:revision>
  <dcterms:created xsi:type="dcterms:W3CDTF">2023-03-07T13:16:00Z</dcterms:created>
  <dcterms:modified xsi:type="dcterms:W3CDTF">2023-03-07T13:16:00Z</dcterms:modified>
</cp:coreProperties>
</file>