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55D35" w14:textId="253954A6" w:rsidR="00C71F1D" w:rsidRPr="00C71F1D" w:rsidRDefault="00C71F1D" w:rsidP="0009168B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71F1D">
        <w:rPr>
          <w:rFonts w:asciiTheme="minorBidi" w:hAnsiTheme="minorBidi"/>
          <w:b/>
          <w:bCs/>
          <w:sz w:val="24"/>
          <w:szCs w:val="24"/>
        </w:rPr>
        <w:t>LINGUA E TRADUZIONE FRANCESE I</w:t>
      </w:r>
    </w:p>
    <w:p w14:paraId="48E8B471" w14:textId="3C012E31" w:rsidR="00C71F1D" w:rsidRPr="00C71F1D" w:rsidRDefault="00C71F1D" w:rsidP="0009168B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C71F1D">
        <w:rPr>
          <w:rFonts w:asciiTheme="minorBidi" w:hAnsiTheme="minorBidi"/>
          <w:b/>
          <w:bCs/>
          <w:sz w:val="24"/>
          <w:szCs w:val="24"/>
        </w:rPr>
        <w:t>a.a</w:t>
      </w:r>
      <w:proofErr w:type="spellEnd"/>
      <w:r w:rsidRPr="00C71F1D">
        <w:rPr>
          <w:rFonts w:asciiTheme="minorBidi" w:hAnsiTheme="minorBidi"/>
          <w:b/>
          <w:bCs/>
          <w:sz w:val="24"/>
          <w:szCs w:val="24"/>
        </w:rPr>
        <w:t>. 2024/25</w:t>
      </w:r>
    </w:p>
    <w:p w14:paraId="66F51DA5" w14:textId="77777777" w:rsidR="00C71F1D" w:rsidRPr="00C71F1D" w:rsidRDefault="00C71F1D" w:rsidP="0009168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1CF1919" w14:textId="30D5E87B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Prerequisiti</w:t>
      </w:r>
    </w:p>
    <w:p w14:paraId="68A461E7" w14:textId="4CFF6596" w:rsid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È auspicabile una conoscenza delle strutture di base della lingua francese, corrispondenti ad un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livello di partenza A2 del Quadro Comune Europeo di Riferimento per le Lingue.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L'accesso alla prova orale prevede il superamento della prova scritta.</w:t>
      </w:r>
    </w:p>
    <w:p w14:paraId="795A4EFD" w14:textId="77777777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</w:p>
    <w:p w14:paraId="41ED84D8" w14:textId="500E171A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Obiettivi del corso</w:t>
      </w:r>
    </w:p>
    <w:p w14:paraId="220D64A4" w14:textId="77777777" w:rsidR="0009168B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Gli obiettivi principali del corso consistono nell'acquisizione di nozioni di base di storia e teoria della traduzione e nello sviluppo di competenze nella traduzione di testi narrativi, descrittivi, argomentativi e dialogici dal francese all'italiano.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</w:p>
    <w:p w14:paraId="268D0E61" w14:textId="77777777" w:rsidR="0009168B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Il corso mira al potenziamento delle seguenti competenze e abilità:</w:t>
      </w:r>
    </w:p>
    <w:p w14:paraId="4D33D936" w14:textId="77777777" w:rsidR="0009168B" w:rsidRDefault="00C71F1D" w:rsidP="0009168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conoscenza e comprensione delle strutture fonologiche, fonetiche, morfo-sintattiche e testuali-pragmatiche del francese, con particolare riferimento alla padronanza delle quattro abilità scritte e orali: comprensione scritta e orale, produzione scritta e orale, comunicazione e interazione, riflessione metalinguistica;</w:t>
      </w:r>
    </w:p>
    <w:p w14:paraId="4EA6F58C" w14:textId="77777777" w:rsidR="0009168B" w:rsidRDefault="00C71F1D" w:rsidP="0009168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ampliamento della conoscenza e della padronanza di aspetti linguistici, extralinguistici, socio - culturali legati alle due lingue-culture (italiano e francese);</w:t>
      </w:r>
    </w:p>
    <w:p w14:paraId="6E73DD78" w14:textId="19A44991" w:rsidR="00C71F1D" w:rsidRPr="0009168B" w:rsidRDefault="00C71F1D" w:rsidP="0009168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comprensione, rielaborazione e analisi linguistica e critica di testi.</w:t>
      </w:r>
    </w:p>
    <w:p w14:paraId="2E2BA87E" w14:textId="77777777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</w:p>
    <w:p w14:paraId="6E04331C" w14:textId="77777777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Programma del corso</w:t>
      </w:r>
    </w:p>
    <w:p w14:paraId="063A7A19" w14:textId="77777777" w:rsidR="00553BCC" w:rsidRDefault="00C71F1D" w:rsidP="000916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Il corso mira a fornire un supporto teorico relativo ai principali elementi di traduttologia, in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particolare a questioni legate alle modalità di restituire, nel testo di arrivo (texte -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cible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), gli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aspetti linguistici, extralinguistici e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socioculturali del testo di partenza (texte - source).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Verranno svolte esercitazioni pratiche di traduzione dal francese all'italiano al fine di consentire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allo studente di applicare le competenze teoriche acquisite.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Sono inoltre previste esercitazioni nell'uso delle risorse informatiche per l'acquisizione e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l'ampliamento di competenze legate a fenomeni linguistici (variazioni linguistiche, giochi di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parole e metalinguaggio), extralinguistici e culturali.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Esame da 9 cfu: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Studenti frequentanti: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prova scritta di traduzione dal francese all'italiano (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version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) ; test grammaticale; dettato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colloquio orale comprensivo di due parti: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a. Parte teorica: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 xml:space="preserve">-capitoli 1,2,3,4,6 del seguente testo: Josiane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Podeur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"jeux de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traduction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", Napoli,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liguori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, 2008;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materiale supplementare fornito dal docente (dispense);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b. Traduzione orale di tutti brani trattati a lezione (di cui verranno richiesti uno o più estratti).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Studenti non frequentanti: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prova scritta di traduzione dal francese all'italiano (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version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) ; test grammaticale; dettato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colloquio orale comprensivo di due parti: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a. Parte teorica 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 xml:space="preserve">- capitoli 1,2,3,4,6 del seguente testo: Josiane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Podeur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, "Jeux de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traduction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", Napoli, Liguori, 2008 ;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materiale supplementare fornito dal docente (dispense);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 xml:space="preserve">- testo supplementare : J.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Podeur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, "La pratica della traduzione", Napoli, Liguori, 2016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b. Traduzione orale di tutti i brani trattati a lezione (di cui verranno richiesti uno o più estratti).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Esame da 6 cfu:</w:t>
      </w: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Studenti frequentanti: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prova scritta di traduzione dal francese all'italiano (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version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) ; test grammaticale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colloquio orale comprensivo di due parti: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a. Parte teorica 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 xml:space="preserve">- capitoli 1,2,3,4,6 del seguente testo: Josiane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Podeur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"jeux de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traduction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", Napoli,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liguori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, 2008 ;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materiale supplementare fornito dal docente (dispense)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b. Traduzione orale di parte dei brani trattati a lezione (di cui verranno richiesti uno o più estratti).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Studenti non frequentanti: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prova scritta di traduzione dal francese all'italiano (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version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) ; test grammaticale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colloquio orale comprensivo di due parti: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a. Parte teorica :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 xml:space="preserve">- capitoli 1,2,3,4,6 del seguente testo: Josiane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Podeur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"jeux de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traduction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", Napoli, Liguori, 2008 ;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materiale supplementare fornito dal docente (dispense);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lastRenderedPageBreak/>
        <w:t xml:space="preserve">- testo supplementare : J.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Podeur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"la pratica della traduzione", Napoli, Liguori, 2016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b. Traduzione orale di tutti i brani trattati a lezione (di cui verranno richiesti uno o più estratti).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Esami di idoneità (3 cfu.)</w:t>
      </w: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- Prova scritta che consiste nella stesura di un breve elaborato (2 pagine) su un argomento a piacere in lingua francese da inviare alla docente almeno 5 giorni prima della data d'esame.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- Prova orale: esposizione orale in lingua francese dell'elaborato.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="00553BCC" w:rsidRPr="00553BC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Criteri di valutazione</w:t>
      </w:r>
    </w:p>
    <w:p w14:paraId="787642EF" w14:textId="77777777" w:rsidR="00553BCC" w:rsidRDefault="00553BCC" w:rsidP="000916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</w:pPr>
    </w:p>
    <w:p w14:paraId="3229B661" w14:textId="4988A792" w:rsid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I criteri di valutazione si basano sulla conoscenza dei contenuti disciplinari, sulla competenza</w:t>
      </w:r>
      <w:r w:rsidR="00553BCC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nella traduzione di testi, sull'argomentazione e giustificazione di particolari scelte traduttive,</w:t>
      </w:r>
      <w:r w:rsidR="00553BCC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sulla fluidità e correttezza espositiva.</w:t>
      </w:r>
    </w:p>
    <w:p w14:paraId="59C59AD8" w14:textId="77777777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</w:p>
    <w:p w14:paraId="05466ECC" w14:textId="77777777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Testi (A)dottati, (C)</w:t>
      </w:r>
      <w:proofErr w:type="spellStart"/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onsigliati</w:t>
      </w:r>
      <w:proofErr w:type="spellEnd"/>
    </w:p>
    <w:p w14:paraId="7A154D7D" w14:textId="77777777" w:rsidR="00C71F1D" w:rsidRPr="00C71F1D" w:rsidRDefault="00C71F1D" w:rsidP="0009168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val="fr-FR" w:eastAsia="it-IT"/>
          <w14:ligatures w14:val="none"/>
        </w:rPr>
      </w:pP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val="fr-FR" w:eastAsia="it-IT"/>
          <w14:ligatures w14:val="none"/>
        </w:rPr>
        <w:t>1. 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val="fr-FR" w:eastAsia="it-IT"/>
          <w14:ligatures w14:val="none"/>
        </w:rPr>
        <w:t xml:space="preserve"> (A) Josiane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val="fr-FR" w:eastAsia="it-IT"/>
          <w14:ligatures w14:val="none"/>
        </w:rPr>
        <w:t>Podeur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val="fr-FR" w:eastAsia="it-IT"/>
          <w14:ligatures w14:val="none"/>
        </w:rPr>
        <w:t> </w:t>
      </w:r>
      <w:r w:rsidRPr="00C71F1D">
        <w:rPr>
          <w:rFonts w:ascii="Arial" w:eastAsia="Times New Roman" w:hAnsi="Arial" w:cs="Arial"/>
          <w:i/>
          <w:iCs/>
          <w:color w:val="000000"/>
          <w:kern w:val="0"/>
          <w:sz w:val="19"/>
          <w:szCs w:val="19"/>
          <w:lang w:val="fr-FR" w:eastAsia="it-IT"/>
          <w14:ligatures w14:val="none"/>
        </w:rPr>
        <w:t>Jeux de traduction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val="fr-FR" w:eastAsia="it-IT"/>
          <w14:ligatures w14:val="none"/>
        </w:rPr>
        <w:t> 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val="fr-FR" w:eastAsia="it-IT"/>
          <w14:ligatures w14:val="none"/>
        </w:rPr>
        <w:t>Liguori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val="fr-FR" w:eastAsia="it-IT"/>
          <w14:ligatures w14:val="none"/>
        </w:rPr>
        <w:t>, Napoli, 2008</w:t>
      </w:r>
    </w:p>
    <w:p w14:paraId="1E4ABC42" w14:textId="77777777" w:rsidR="00C71F1D" w:rsidRDefault="00C71F1D" w:rsidP="0009168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2. 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 (A) Josiane 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Podeur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 </w:t>
      </w:r>
      <w:r w:rsidRPr="00C71F1D">
        <w:rPr>
          <w:rFonts w:ascii="Arial" w:eastAsia="Times New Roman" w:hAnsi="Arial" w:cs="Arial"/>
          <w:i/>
          <w:iCs/>
          <w:color w:val="000000"/>
          <w:kern w:val="0"/>
          <w:sz w:val="19"/>
          <w:szCs w:val="19"/>
          <w:lang w:eastAsia="it-IT"/>
          <w14:ligatures w14:val="none"/>
        </w:rPr>
        <w:t>La pratica della traduzione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 Liguori, Napoli, 2002</w:t>
      </w:r>
    </w:p>
    <w:p w14:paraId="33E34E28" w14:textId="7B6CA2B2" w:rsidR="00C71F1D" w:rsidRPr="00C71F1D" w:rsidRDefault="00C71F1D" w:rsidP="0009168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Dispense fornite dal docente </w:t>
      </w:r>
    </w:p>
    <w:p w14:paraId="545877BD" w14:textId="77777777" w:rsidR="00C71F1D" w:rsidRPr="00C71F1D" w:rsidRDefault="00C71F1D" w:rsidP="0009168B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</w:p>
    <w:p w14:paraId="3424EF97" w14:textId="77777777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Metodi didattici</w:t>
      </w:r>
    </w:p>
    <w:p w14:paraId="080855DE" w14:textId="5C8CF739" w:rsid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L'approccio metodologico prevede lezioni frontali dialogate, visione e spiegazione di materiale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audio-video, esercizi di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traduzione.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Il corso alternerà lezioni teoriche frontali a lezioni interattive volte alla traduzione e all'analisi di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diverse tipologie di testi e ad una riflessione sulle scelte traduttive degli stessi, anche sulla base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delle nozioni teoriche apprese. Si procederà inoltre con il confronto e l'analisi di diverse traduzioni professionali di uno stesso testo narrativo.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Per questo motivo, è auspicabile una regolare frequenza e una regolare esercitazione sui brani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proposti nel corso delle lezioni.</w:t>
      </w:r>
    </w:p>
    <w:p w14:paraId="640679BE" w14:textId="77777777" w:rsidR="00C71F1D" w:rsidRPr="00C71F1D" w:rsidRDefault="00C71F1D" w:rsidP="0009168B">
      <w:pPr>
        <w:spacing w:after="0" w:line="240" w:lineRule="auto"/>
        <w:ind w:left="9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</w:p>
    <w:p w14:paraId="42D2C93D" w14:textId="77777777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Modalità di valutazione</w:t>
      </w:r>
    </w:p>
    <w:p w14:paraId="2B7F0DB7" w14:textId="7D300655" w:rsid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I criteri di valutazione delle prove scritte (</w:t>
      </w:r>
      <w:proofErr w:type="spellStart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semistrutturate</w:t>
      </w:r>
      <w:proofErr w:type="spellEnd"/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) si basano su correttezza grammaticale,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sintattica,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lessicale e sulla pertinenza delle scelte traduttive.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br/>
        <w:t>I criteri di valutazione della prova orale si basano sulla conoscenza dei contenuti disciplinari, sulla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competenza nella traduzione di testi, sull'argomentazione e giustificazione di particolari scelte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traduttive, sulla fluidità e</w:t>
      </w:r>
      <w:r w:rsidR="0009168B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 xml:space="preserve"> </w:t>
      </w: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correttezza espositiva.</w:t>
      </w:r>
    </w:p>
    <w:p w14:paraId="6C1E074E" w14:textId="77777777" w:rsidR="00C71F1D" w:rsidRPr="00C71F1D" w:rsidRDefault="00C71F1D" w:rsidP="0009168B">
      <w:pPr>
        <w:spacing w:after="0" w:line="240" w:lineRule="auto"/>
        <w:ind w:left="9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</w:p>
    <w:p w14:paraId="443DF62E" w14:textId="77777777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Lingue, oltre all'italiano, che possono essere utilizzate per l'attività didattica</w:t>
      </w:r>
    </w:p>
    <w:p w14:paraId="181A0E3E" w14:textId="1DB978F0" w:rsidR="00C71F1D" w:rsidRDefault="0009168B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F</w:t>
      </w:r>
      <w:r w:rsidR="00C71F1D"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rancese</w:t>
      </w:r>
    </w:p>
    <w:p w14:paraId="3CAB9872" w14:textId="77777777" w:rsidR="0009168B" w:rsidRPr="00C71F1D" w:rsidRDefault="0009168B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</w:p>
    <w:p w14:paraId="3AA11799" w14:textId="77777777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it-IT"/>
          <w14:ligatures w14:val="none"/>
        </w:rPr>
        <w:t>Lingue, oltre all'italiano, che si intende utilizzare per la valutazione</w:t>
      </w:r>
    </w:p>
    <w:p w14:paraId="51130F77" w14:textId="77777777" w:rsidR="00C71F1D" w:rsidRPr="00C71F1D" w:rsidRDefault="00C71F1D" w:rsidP="000916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</w:pPr>
      <w:r w:rsidRPr="00C71F1D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francese</w:t>
      </w:r>
    </w:p>
    <w:p w14:paraId="3F707288" w14:textId="77777777" w:rsidR="00C71F1D" w:rsidRDefault="00C71F1D" w:rsidP="000916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3E6979" w14:textId="77777777" w:rsidR="00C71F1D" w:rsidRPr="00C71F1D" w:rsidRDefault="00C71F1D" w:rsidP="000916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C71F1D" w:rsidRPr="00C71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B61FB"/>
    <w:multiLevelType w:val="multilevel"/>
    <w:tmpl w:val="3AB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DA10CD"/>
    <w:multiLevelType w:val="multilevel"/>
    <w:tmpl w:val="8F9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C83FED"/>
    <w:multiLevelType w:val="hybridMultilevel"/>
    <w:tmpl w:val="3C1EA9EC"/>
    <w:lvl w:ilvl="0" w:tplc="02DACA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173AE"/>
    <w:multiLevelType w:val="multilevel"/>
    <w:tmpl w:val="505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0565127">
    <w:abstractNumId w:val="3"/>
  </w:num>
  <w:num w:numId="2" w16cid:durableId="487938215">
    <w:abstractNumId w:val="0"/>
  </w:num>
  <w:num w:numId="3" w16cid:durableId="886648925">
    <w:abstractNumId w:val="1"/>
  </w:num>
  <w:num w:numId="4" w16cid:durableId="147013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1D"/>
    <w:rsid w:val="0009168B"/>
    <w:rsid w:val="001B2703"/>
    <w:rsid w:val="00553BCC"/>
    <w:rsid w:val="00C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CD3B"/>
  <w15:chartTrackingRefBased/>
  <w15:docId w15:val="{E31E8A40-597B-48F5-BEF4-EC99BE95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Alessandrini</dc:creator>
  <cp:keywords/>
  <dc:description/>
  <cp:lastModifiedBy>Sabrina Alessandrini</cp:lastModifiedBy>
  <cp:revision>3</cp:revision>
  <dcterms:created xsi:type="dcterms:W3CDTF">2024-09-18T12:22:00Z</dcterms:created>
  <dcterms:modified xsi:type="dcterms:W3CDTF">2024-09-18T12:31:00Z</dcterms:modified>
</cp:coreProperties>
</file>